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3A961">
      <w:pPr>
        <w:spacing w:line="560" w:lineRule="exact"/>
        <w:ind w:firstLine="0" w:firstLineChars="0"/>
        <w:jc w:val="left"/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  <w:t>2</w:t>
      </w:r>
    </w:p>
    <w:p w14:paraId="1029F739">
      <w:pPr>
        <w:ind w:firstLine="0" w:firstLineChars="0"/>
        <w:jc w:val="left"/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</w:pPr>
    </w:p>
    <w:p w14:paraId="24991CCE">
      <w:pPr>
        <w:spacing w:line="560" w:lineRule="exact"/>
        <w:ind w:firstLine="0" w:firstLineChars="0"/>
        <w:jc w:val="center"/>
        <w:rPr>
          <w:rFonts w:hint="eastAsia" w:ascii="Times New Roman" w:hAnsi="Times New Roman" w:cs="Times New Roman" w:eastAsiaTheme="majorEastAsia"/>
          <w:b/>
          <w:sz w:val="48"/>
          <w:szCs w:val="48"/>
        </w:rPr>
      </w:pPr>
      <w:r>
        <w:rPr>
          <w:rFonts w:hint="default" w:ascii="Times New Roman" w:hAnsi="Times New Roman" w:cs="Times New Roman" w:eastAsiaTheme="majorEastAsia"/>
          <w:b/>
          <w:sz w:val="48"/>
          <w:szCs w:val="48"/>
        </w:rPr>
        <w:t>汽车行业智能制造最佳实践</w:t>
      </w:r>
      <w:r>
        <w:rPr>
          <w:rFonts w:hint="eastAsia" w:ascii="Times New Roman" w:hAnsi="Times New Roman" w:cs="Times New Roman" w:eastAsiaTheme="majorEastAsia"/>
          <w:b/>
          <w:sz w:val="48"/>
          <w:szCs w:val="48"/>
          <w:lang w:eastAsia="zh-CN"/>
        </w:rPr>
        <w:t>填报参考</w:t>
      </w:r>
    </w:p>
    <w:p w14:paraId="5B7454C0">
      <w:pPr>
        <w:ind w:firstLine="0" w:firstLineChars="0"/>
        <w:jc w:val="center"/>
        <w:rPr>
          <w:rFonts w:ascii="黑体" w:hAnsi="黑体" w:eastAsia="黑体"/>
          <w:b/>
          <w:color w:val="2E5C8A"/>
        </w:rPr>
      </w:pPr>
    </w:p>
    <w:p w14:paraId="20F2C68E">
      <w:pPr>
        <w:ind w:firstLine="0" w:firstLineChars="0"/>
        <w:jc w:val="center"/>
        <w:rPr>
          <w:rFonts w:hint="default" w:eastAsia="仿宋" w:asciiTheme="minorHAnsi" w:hAnsiTheme="minorHAnsi" w:cstheme="minorBidi"/>
          <w:b/>
          <w:color w:val="C00000"/>
          <w:sz w:val="22"/>
        </w:rPr>
      </w:pPr>
      <w:r>
        <w:rPr>
          <w:b/>
          <w:color w:val="C00000"/>
          <w:sz w:val="22"/>
        </w:rPr>
        <w:t>以“某总装车间关键螺栓</w:t>
      </w:r>
      <w:r>
        <w:rPr>
          <w:rFonts w:hint="eastAsia"/>
          <w:b/>
          <w:color w:val="C00000"/>
          <w:sz w:val="22"/>
        </w:rPr>
        <w:t>拧紧</w:t>
      </w:r>
      <w:r>
        <w:rPr>
          <w:b/>
          <w:color w:val="C00000"/>
          <w:sz w:val="22"/>
        </w:rPr>
        <w:t>智能防错”场景为例</w:t>
      </w:r>
      <w:r>
        <w:rPr>
          <w:rFonts w:eastAsia="仿宋" w:asciiTheme="minorHAnsi" w:hAnsiTheme="minorHAnsi"/>
          <w:b/>
          <w:color w:val="C00000"/>
          <w:sz w:val="22"/>
        </w:rPr>
        <w:t>（</w:t>
      </w:r>
      <w:r>
        <w:rPr>
          <w:rFonts w:hint="default" w:eastAsia="仿宋" w:asciiTheme="minorHAnsi" w:hAnsiTheme="minorHAnsi"/>
          <w:b/>
          <w:color w:val="C00000"/>
          <w:sz w:val="22"/>
          <w:lang w:eastAsia="zh-CN"/>
        </w:rPr>
        <w:t>填报内容</w:t>
      </w:r>
      <w:r>
        <w:rPr>
          <w:rFonts w:eastAsia="仿宋" w:asciiTheme="minorHAnsi" w:hAnsiTheme="minorHAnsi"/>
          <w:b/>
          <w:color w:val="C00000"/>
          <w:sz w:val="22"/>
        </w:rPr>
        <w:t>仅供参考）</w:t>
      </w:r>
    </w:p>
    <w:p w14:paraId="5ADE89A8">
      <w:pPr>
        <w:keepNext/>
        <w:keepLines/>
        <w:spacing w:before="60" w:after="60" w:line="240" w:lineRule="auto"/>
        <w:ind w:firstLine="562"/>
        <w:outlineLvl w:val="0"/>
        <w:rPr>
          <w:rFonts w:eastAsia="黑体"/>
          <w:b/>
          <w:kern w:val="44"/>
          <w:sz w:val="28"/>
        </w:rPr>
      </w:pPr>
      <w:r>
        <w:rPr>
          <w:rFonts w:hint="eastAsia" w:eastAsia="黑体"/>
          <w:b/>
          <w:kern w:val="44"/>
          <w:sz w:val="28"/>
        </w:rPr>
        <w:t>第一部分 基础标识信息</w:t>
      </w:r>
    </w:p>
    <w:p w14:paraId="2653E978">
      <w:pPr>
        <w:keepNext/>
        <w:keepLines/>
        <w:spacing w:line="440" w:lineRule="exact"/>
        <w:ind w:firstLine="482"/>
        <w:outlineLvl w:val="1"/>
        <w:rPr>
          <w:rFonts w:hint="eastAsia" w:ascii="宋体" w:hAnsi="宋体" w:eastAsia="宋体" w:cs="宋体"/>
          <w:b/>
          <w:sz w:val="24"/>
        </w:rPr>
      </w:pPr>
      <w:r>
        <w:rPr>
          <w:rFonts w:hint="eastAsia" w:ascii="Calibri" w:hAnsi="Calibri" w:eastAsia="宋体"/>
          <w:b/>
          <w:bCs/>
          <w:sz w:val="24"/>
        </w:rPr>
        <w:t>1.1 实践编号</w:t>
      </w:r>
      <w:r>
        <w:rPr>
          <w:rFonts w:hint="eastAsia" w:ascii="Calibri" w:hAnsi="Calibri" w:eastAsia="宋体"/>
          <w:b/>
          <w:sz w:val="24"/>
        </w:rPr>
        <w:t>：AUTO-BP-</w:t>
      </w:r>
      <w:r>
        <w:rPr>
          <w:rFonts w:ascii="宋体" w:hAnsi="宋体" w:eastAsia="宋体" w:cs="宋体"/>
          <w:b/>
          <w:sz w:val="24"/>
        </w:rPr>
        <w:t>______</w:t>
      </w:r>
      <w:r>
        <w:rPr>
          <w:rFonts w:hint="eastAsia" w:ascii="宋体" w:hAnsi="宋体" w:eastAsia="宋体" w:cs="宋体"/>
          <w:b/>
          <w:sz w:val="24"/>
        </w:rPr>
        <w:t>（不用填写）</w:t>
      </w:r>
    </w:p>
    <w:p w14:paraId="7C306899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1.2 实践名称</w:t>
      </w:r>
      <w:r>
        <w:rPr>
          <w:b/>
          <w:color w:val="C00000"/>
          <w:sz w:val="21"/>
        </w:rPr>
        <w:t>【必填】</w:t>
      </w:r>
      <w:r>
        <w:rPr>
          <w:rFonts w:hint="eastAsia" w:ascii="Calibri" w:hAnsi="Calibri" w:eastAsia="宋体"/>
          <w:b/>
          <w:sz w:val="24"/>
        </w:rPr>
        <w:t>：总装车间关键螺栓拧紧智能防错实践</w:t>
      </w:r>
    </w:p>
    <w:p w14:paraId="6829A4C6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1.3 文档当前状态</w:t>
      </w:r>
      <w:r>
        <w:rPr>
          <w:b/>
          <w:sz w:val="21"/>
        </w:rPr>
        <w:t>【选填】</w:t>
      </w:r>
    </w:p>
    <w:p w14:paraId="20A32F0D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草稿 □ 研讨定稿 □ 推广版 □ 标准转化版</w:t>
      </w:r>
    </w:p>
    <w:p w14:paraId="2F50C783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bCs/>
          <w:sz w:val="24"/>
        </w:rPr>
      </w:pPr>
      <w:r>
        <w:rPr>
          <w:rFonts w:hint="eastAsia" w:ascii="Calibri" w:hAnsi="Calibri" w:eastAsia="宋体"/>
          <w:b/>
          <w:bCs/>
          <w:sz w:val="24"/>
        </w:rPr>
        <w:t>1.4 领域分类标签</w:t>
      </w:r>
      <w:r>
        <w:rPr>
          <w:b/>
          <w:color w:val="C00000"/>
          <w:sz w:val="21"/>
        </w:rPr>
        <w:t>【必填】</w:t>
      </w:r>
      <w:r>
        <w:rPr>
          <w:rFonts w:hint="eastAsia" w:ascii="Calibri" w:hAnsi="Calibri" w:eastAsia="宋体"/>
          <w:b/>
          <w:bCs/>
          <w:sz w:val="24"/>
        </w:rPr>
        <w:t>（可多选）</w:t>
      </w:r>
    </w:p>
    <w:p w14:paraId="4902B27F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生产环节</w:t>
      </w:r>
      <w:r>
        <w:rPr>
          <w:rFonts w:hint="eastAsia" w:eastAsiaTheme="minorEastAsia"/>
          <w:sz w:val="24"/>
        </w:rPr>
        <w:t>（参考智能制造典型场景2025版，若不能覆盖请补充）</w:t>
      </w:r>
    </w:p>
    <w:p w14:paraId="07869E0A">
      <w:pPr>
        <w:numPr>
          <w:ilvl w:val="0"/>
          <w:numId w:val="1"/>
        </w:num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工厂建设环节：□ 工</w:t>
      </w:r>
      <w:bookmarkStart w:id="0" w:name="_GoBack"/>
      <w:bookmarkEnd w:id="0"/>
      <w:r>
        <w:rPr>
          <w:rFonts w:hint="eastAsia" w:eastAsiaTheme="minorEastAsia"/>
          <w:sz w:val="24"/>
        </w:rPr>
        <w:t>厂数字化规划设计 □ 数字基础设施建设</w:t>
      </w:r>
    </w:p>
    <w:p w14:paraId="52698853">
      <w:pPr>
        <w:spacing w:line="440" w:lineRule="exact"/>
        <w:ind w:firstLine="1872" w:firstLineChars="7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数字孪生工厂构建 □ 其他</w:t>
      </w:r>
      <w:r>
        <w:rPr>
          <w:rFonts w:hint="eastAsia" w:eastAsiaTheme="minorEastAsia"/>
          <w:sz w:val="24"/>
          <w:u w:val="single"/>
        </w:rPr>
        <w:t xml:space="preserve">          </w:t>
      </w:r>
    </w:p>
    <w:p w14:paraId="359FB5D0">
      <w:pPr>
        <w:numPr>
          <w:ilvl w:val="0"/>
          <w:numId w:val="1"/>
        </w:num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产品研发环节：□ 产品数字化设计 □ 产品虚拟验证 □ 其他</w:t>
      </w:r>
      <w:r>
        <w:rPr>
          <w:rFonts w:hint="eastAsia" w:eastAsiaTheme="minorEastAsia"/>
          <w:sz w:val="24"/>
          <w:u w:val="single"/>
        </w:rPr>
        <w:t xml:space="preserve">          </w:t>
      </w:r>
    </w:p>
    <w:p w14:paraId="4B0EC859">
      <w:pPr>
        <w:numPr>
          <w:ilvl w:val="0"/>
          <w:numId w:val="1"/>
        </w:num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工艺设计环节：□ 工艺数字化设计 □ 制造工程优化 □ 其他</w:t>
      </w:r>
      <w:r>
        <w:rPr>
          <w:rFonts w:hint="eastAsia" w:eastAsiaTheme="minorEastAsia"/>
          <w:sz w:val="24"/>
          <w:u w:val="single"/>
        </w:rPr>
        <w:t xml:space="preserve">          </w:t>
      </w:r>
    </w:p>
    <w:p w14:paraId="1128EBBB">
      <w:pPr>
        <w:numPr>
          <w:ilvl w:val="0"/>
          <w:numId w:val="1"/>
        </w:num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生产管理环节：□ 生产计划优化 □ 车间智能排产 □ 生产进度跟踪</w:t>
      </w:r>
    </w:p>
    <w:p w14:paraId="69E81FE6">
      <w:pPr>
        <w:spacing w:line="440" w:lineRule="exact"/>
        <w:ind w:firstLine="1869" w:firstLineChars="779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生产动态调度 □ 仓储智能管理 □ 物料精准配送</w:t>
      </w:r>
    </w:p>
    <w:p w14:paraId="091CB8E3">
      <w:pPr>
        <w:spacing w:line="440" w:lineRule="exact"/>
        <w:ind w:firstLine="1869" w:firstLineChars="779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危险作业自动化 □ 安全一体化管控 □ 能源智能管控</w:t>
      </w:r>
    </w:p>
    <w:p w14:paraId="2DED9962">
      <w:pPr>
        <w:spacing w:line="440" w:lineRule="exact"/>
        <w:ind w:firstLine="1869" w:firstLineChars="779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碳资产全生命周期管理 □ 污染在线管控 □ 网络协同制造</w:t>
      </w:r>
    </w:p>
    <w:p w14:paraId="0F2211EE">
      <w:pPr>
        <w:spacing w:line="440" w:lineRule="exact"/>
        <w:ind w:firstLine="1869" w:firstLineChars="779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其他</w:t>
      </w:r>
      <w:r>
        <w:rPr>
          <w:rFonts w:hint="eastAsia" w:eastAsiaTheme="minorEastAsia"/>
          <w:sz w:val="24"/>
          <w:u w:val="single"/>
        </w:rPr>
        <w:t xml:space="preserve">          </w:t>
      </w:r>
    </w:p>
    <w:p w14:paraId="29169C52">
      <w:pPr>
        <w:numPr>
          <w:ilvl w:val="0"/>
          <w:numId w:val="1"/>
        </w:num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生产作业环节：□ 柔性产线快速换产 □ 工艺动态优化 □ 先进过程控制</w:t>
      </w:r>
    </w:p>
    <w:p w14:paraId="6377CCDB">
      <w:pPr>
        <w:spacing w:line="440" w:lineRule="exact"/>
        <w:ind w:firstLine="1869" w:firstLineChars="779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人机协同作业 ☑ 在线智能检测 ☑ 质量精准追溯</w:t>
      </w:r>
    </w:p>
    <w:p w14:paraId="05FAC9F3">
      <w:pPr>
        <w:spacing w:line="440" w:lineRule="exact"/>
        <w:ind w:firstLine="1869" w:firstLineChars="779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质量分析与改进 □ 设备运行监控 □ 设备故障诊断与预测</w:t>
      </w:r>
    </w:p>
    <w:p w14:paraId="01222155">
      <w:pPr>
        <w:spacing w:line="440" w:lineRule="exact"/>
        <w:ind w:firstLine="1869" w:firstLineChars="779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设备维修维护 □ 其他</w:t>
      </w:r>
      <w:r>
        <w:rPr>
          <w:rFonts w:hint="eastAsia" w:eastAsiaTheme="minorEastAsia"/>
          <w:sz w:val="24"/>
          <w:u w:val="single"/>
        </w:rPr>
        <w:t xml:space="preserve">          </w:t>
      </w:r>
    </w:p>
    <w:p w14:paraId="15657A3F">
      <w:pPr>
        <w:numPr>
          <w:ilvl w:val="0"/>
          <w:numId w:val="1"/>
        </w:num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运营管理环节：□ 智能经营决策 □ 数智精益管理 □ 规模化定制</w:t>
      </w:r>
    </w:p>
    <w:p w14:paraId="710F777C">
      <w:pPr>
        <w:spacing w:line="440" w:lineRule="exact"/>
        <w:ind w:firstLine="1872" w:firstLineChars="7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产品精准营销 □ 其他</w:t>
      </w:r>
      <w:r>
        <w:rPr>
          <w:rFonts w:hint="eastAsia" w:eastAsiaTheme="minorEastAsia"/>
          <w:sz w:val="24"/>
          <w:u w:val="single"/>
        </w:rPr>
        <w:t xml:space="preserve">          </w:t>
      </w:r>
    </w:p>
    <w:p w14:paraId="7967C904">
      <w:pPr>
        <w:numPr>
          <w:ilvl w:val="0"/>
          <w:numId w:val="1"/>
        </w:num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产品服务环节：□ 远程运维服务 □ 产品增值服务 □ 客户主动服务</w:t>
      </w:r>
    </w:p>
    <w:p w14:paraId="1D979584">
      <w:pPr>
        <w:spacing w:line="440" w:lineRule="exact"/>
        <w:ind w:firstLine="1872" w:firstLineChars="7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其他</w:t>
      </w:r>
      <w:r>
        <w:rPr>
          <w:rFonts w:hint="eastAsia" w:eastAsiaTheme="minorEastAsia"/>
          <w:sz w:val="24"/>
          <w:u w:val="single"/>
        </w:rPr>
        <w:t xml:space="preserve">          </w:t>
      </w:r>
    </w:p>
    <w:p w14:paraId="5B4FB48E">
      <w:pPr>
        <w:numPr>
          <w:ilvl w:val="0"/>
          <w:numId w:val="1"/>
        </w:num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供应链管理环节：□ 供应商数字化管理 □ 采购计划优化协同</w:t>
      </w:r>
    </w:p>
    <w:p w14:paraId="1BCE8FFE">
      <w:pPr>
        <w:spacing w:line="440" w:lineRule="exact"/>
        <w:ind w:firstLine="2112" w:firstLineChars="8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供应链风险预警与调度 □ 供应链物流智能配送</w:t>
      </w:r>
    </w:p>
    <w:p w14:paraId="5E76C608">
      <w:pPr>
        <w:spacing w:line="440" w:lineRule="exact"/>
        <w:ind w:firstLine="2112" w:firstLineChars="8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其他</w:t>
      </w:r>
      <w:r>
        <w:rPr>
          <w:rFonts w:hint="eastAsia" w:eastAsiaTheme="minorEastAsia"/>
          <w:sz w:val="24"/>
          <w:u w:val="single"/>
        </w:rPr>
        <w:t xml:space="preserve">          </w:t>
      </w:r>
    </w:p>
    <w:p w14:paraId="0D981B0B">
      <w:pPr>
        <w:numPr>
          <w:ilvl w:val="0"/>
          <w:numId w:val="1"/>
        </w:num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其他</w:t>
      </w:r>
      <w:r>
        <w:rPr>
          <w:rFonts w:hint="eastAsia" w:eastAsiaTheme="minorEastAsia"/>
          <w:sz w:val="24"/>
          <w:u w:val="single"/>
        </w:rPr>
        <w:t xml:space="preserve">          </w:t>
      </w:r>
    </w:p>
    <w:p w14:paraId="1F522B52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技术方向</w:t>
      </w:r>
      <w:r>
        <w:rPr>
          <w:b/>
          <w:color w:val="C00000"/>
          <w:sz w:val="21"/>
        </w:rPr>
        <w:t>【必填】</w:t>
      </w:r>
      <w:r>
        <w:rPr>
          <w:rFonts w:hint="eastAsia" w:eastAsiaTheme="minorEastAsia"/>
          <w:sz w:val="24"/>
        </w:rPr>
        <w:t>（若不能覆盖请补充）</w:t>
      </w:r>
    </w:p>
    <w:p w14:paraId="2E54B6B7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数字孪生 ☑ 工业视觉 ☑ 智能物联 □ 人工智能</w:t>
      </w:r>
    </w:p>
    <w:p w14:paraId="02F260BA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工业数据治理 ☑ 系统集成 □ 大数据</w:t>
      </w:r>
    </w:p>
    <w:p w14:paraId="277575AC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其他_</w:t>
      </w:r>
      <w:r>
        <w:rPr>
          <w:rFonts w:hint="eastAsia" w:eastAsiaTheme="minorEastAsia"/>
          <w:sz w:val="24"/>
          <w:u w:val="single"/>
        </w:rPr>
        <w:t xml:space="preserve">          </w:t>
      </w:r>
    </w:p>
    <w:p w14:paraId="60300081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1.5 参与主体信息</w:t>
      </w:r>
    </w:p>
    <w:p w14:paraId="2C904E79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牵头企业</w:t>
      </w:r>
      <w:r>
        <w:rPr>
          <w:b/>
          <w:color w:val="C00000"/>
          <w:sz w:val="21"/>
        </w:rPr>
        <w:t>【必填】</w:t>
      </w:r>
      <w:r>
        <w:rPr>
          <w:rFonts w:hint="eastAsia" w:eastAsiaTheme="minorEastAsia"/>
          <w:sz w:val="24"/>
        </w:rPr>
        <w:t>：</w:t>
      </w:r>
      <w:r>
        <w:rPr>
          <w:rFonts w:hint="eastAsia" w:eastAsiaTheme="minorEastAsia"/>
          <w:sz w:val="24"/>
          <w:u w:val="single"/>
        </w:rPr>
        <w:t xml:space="preserve">  某汽车制造有限公司         </w:t>
      </w:r>
    </w:p>
    <w:p w14:paraId="371F4A3B">
      <w:pPr>
        <w:spacing w:line="440" w:lineRule="exact"/>
        <w:ind w:firstLine="0" w:firstLineChars="0"/>
        <w:rPr>
          <w:rFonts w:eastAsiaTheme="minorEastAsia"/>
          <w:sz w:val="24"/>
          <w:u w:val="single"/>
        </w:rPr>
      </w:pPr>
      <w:r>
        <w:rPr>
          <w:rFonts w:hint="eastAsia" w:eastAsiaTheme="minorEastAsia"/>
          <w:sz w:val="24"/>
        </w:rPr>
        <w:t>协同企业/技术服务商（如有）：</w:t>
      </w:r>
      <w:r>
        <w:rPr>
          <w:rFonts w:hint="eastAsia" w:eastAsiaTheme="minorEastAsia"/>
          <w:sz w:val="24"/>
          <w:u w:val="single"/>
        </w:rPr>
        <w:t xml:space="preserve"> 某工业视觉科技有限公司 </w:t>
      </w:r>
    </w:p>
    <w:p w14:paraId="466F7DD8">
      <w:pPr>
        <w:spacing w:line="440" w:lineRule="exact"/>
        <w:ind w:firstLine="3360" w:firstLineChars="1400"/>
        <w:rPr>
          <w:rFonts w:eastAsiaTheme="minorEastAsia"/>
          <w:sz w:val="24"/>
        </w:rPr>
      </w:pPr>
      <w:r>
        <w:rPr>
          <w:rFonts w:hint="eastAsia" w:eastAsiaTheme="minorEastAsia"/>
          <w:sz w:val="24"/>
          <w:u w:val="single"/>
        </w:rPr>
        <w:t xml:space="preserve"> 某智能制造系统集成商 </w:t>
      </w:r>
    </w:p>
    <w:p w14:paraId="3E3B9B17">
      <w:pPr>
        <w:keepNext/>
        <w:keepLines/>
        <w:spacing w:after="156" w:afterLines="50" w:line="440" w:lineRule="exact"/>
        <w:ind w:firstLine="0" w:firstLineChars="0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1.6 关联标准情况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3"/>
        <w:gridCol w:w="7133"/>
      </w:tblGrid>
      <w:tr w14:paraId="0023F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3" w:type="dxa"/>
            <w:vAlign w:val="center"/>
          </w:tcPr>
          <w:p w14:paraId="0FB9901C">
            <w:pPr>
              <w:spacing w:line="240" w:lineRule="auto"/>
              <w:ind w:firstLine="482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sz w:val="24"/>
              </w:rPr>
              <w:t>【选填】</w:t>
            </w:r>
            <w:r>
              <w:rPr>
                <w:rFonts w:hint="eastAsia" w:ascii="仿宋" w:hAnsi="仿宋" w:cs="仿宋"/>
                <w:b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sz w:val="24"/>
              </w:rPr>
              <w:t>关联现有标准</w:t>
            </w:r>
          </w:p>
        </w:tc>
        <w:tc>
          <w:tcPr>
            <w:tcW w:w="7133" w:type="dxa"/>
          </w:tcPr>
          <w:p w14:paraId="5CDA31FA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例：QC/T XXXXX 汽车总装工艺规范</w:t>
            </w:r>
          </w:p>
          <w:p w14:paraId="39BC1950">
            <w:pPr>
              <w:spacing w:line="240" w:lineRule="auto"/>
              <w:ind w:firstLine="480"/>
              <w:rPr>
                <w:rFonts w:hint="eastAsia" w:ascii="仿宋" w:hAnsi="仿宋" w:cs="仿宋"/>
                <w:color w:val="808080"/>
                <w:sz w:val="24"/>
              </w:rPr>
            </w:pPr>
          </w:p>
        </w:tc>
      </w:tr>
    </w:tbl>
    <w:p w14:paraId="7E909DE7">
      <w:pPr>
        <w:keepNext/>
        <w:keepLines/>
        <w:spacing w:before="60" w:after="60" w:line="240" w:lineRule="auto"/>
        <w:ind w:firstLine="562"/>
        <w:outlineLvl w:val="0"/>
        <w:rPr>
          <w:rFonts w:eastAsia="黑体"/>
          <w:b/>
          <w:kern w:val="44"/>
          <w:sz w:val="28"/>
        </w:rPr>
      </w:pPr>
      <w:r>
        <w:rPr>
          <w:rFonts w:hint="eastAsia" w:eastAsia="黑体"/>
          <w:b/>
          <w:kern w:val="44"/>
          <w:sz w:val="28"/>
        </w:rPr>
        <w:t>第二部分 场景概述与应用边界</w:t>
      </w:r>
      <w:r>
        <w:rPr>
          <w:rFonts w:hint="eastAsia" w:eastAsia="黑体"/>
          <w:kern w:val="44"/>
          <w:sz w:val="24"/>
        </w:rPr>
        <w:t>（</w:t>
      </w:r>
      <w:r>
        <w:rPr>
          <w:rFonts w:hint="eastAsia" w:eastAsia="黑体"/>
          <w:color w:val="FF0000"/>
          <w:kern w:val="44"/>
          <w:sz w:val="24"/>
        </w:rPr>
        <w:t>可配图片</w:t>
      </w:r>
      <w:r>
        <w:rPr>
          <w:rFonts w:hint="eastAsia" w:eastAsia="黑体"/>
          <w:kern w:val="44"/>
          <w:sz w:val="24"/>
        </w:rPr>
        <w:t>）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7163"/>
      </w:tblGrid>
      <w:tr w14:paraId="00B4B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Align w:val="center"/>
          </w:tcPr>
          <w:p w14:paraId="0D06AC25">
            <w:pPr>
              <w:spacing w:line="240" w:lineRule="auto"/>
              <w:ind w:firstLine="422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color w:val="C00000"/>
                <w:sz w:val="21"/>
                <w:szCs w:val="21"/>
              </w:rPr>
              <w:t>【必填】</w:t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t>2.1业务目标</w:t>
            </w:r>
          </w:p>
        </w:tc>
        <w:tc>
          <w:tcPr>
            <w:tcW w:w="7163" w:type="dxa"/>
          </w:tcPr>
          <w:p w14:paraId="5406C7A7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（不超过300字）</w:t>
            </w:r>
            <w:r>
              <w:rPr>
                <w:rFonts w:hint="eastAsia" w:ascii="仿宋" w:hAnsi="仿宋" w:cs="仿宋"/>
                <w:i/>
                <w:color w:val="808080"/>
                <w:sz w:val="24"/>
              </w:rPr>
              <w:br w:type="textWrapping"/>
            </w:r>
            <w:r>
              <w:rPr>
                <w:rFonts w:hint="eastAsia" w:ascii="仿宋" w:hAnsi="仿宋" w:cs="仿宋"/>
                <w:sz w:val="24"/>
              </w:rPr>
              <w:t>解决总装车间关键螺栓（如底盘副车架螺栓、转向节螺栓等）人工拧紧漏拧、错拧、扭矩不达标的质量风险，通过视觉识别+智能扭矩枪+MES系统联动，实现关键螺栓拧紧过程100%防错和全流程可追溯，杜绝因螺栓拧紧缺陷导致的安全质量问题。</w:t>
            </w:r>
          </w:p>
          <w:p w14:paraId="2326450F">
            <w:pPr>
              <w:widowControl/>
              <w:spacing w:line="240" w:lineRule="auto"/>
              <w:ind w:firstLine="0" w:firstLineChars="0"/>
              <w:jc w:val="center"/>
            </w:pPr>
            <w:r>
              <w:drawing>
                <wp:inline distT="0" distB="0" distL="114300" distR="114300">
                  <wp:extent cx="2701290" cy="1800860"/>
                  <wp:effectExtent l="0" t="0" r="11430" b="1270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1290" cy="1800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341FCD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图1  总装车间关键螺栓智能防错工位实景示意图（仅示意参考）</w:t>
            </w:r>
          </w:p>
        </w:tc>
      </w:tr>
      <w:tr w14:paraId="4F184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Align w:val="center"/>
          </w:tcPr>
          <w:p w14:paraId="30B67A49">
            <w:pPr>
              <w:spacing w:line="240" w:lineRule="auto"/>
              <w:ind w:firstLine="422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color w:val="C00000"/>
                <w:sz w:val="21"/>
                <w:szCs w:val="21"/>
              </w:rPr>
              <w:t>【必填】</w:t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t>2.2核心痛点</w:t>
            </w:r>
          </w:p>
        </w:tc>
        <w:tc>
          <w:tcPr>
            <w:tcW w:w="7163" w:type="dxa"/>
          </w:tcPr>
          <w:p w14:paraId="637E02A8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（不超过300字）</w:t>
            </w:r>
            <w:r>
              <w:rPr>
                <w:rFonts w:hint="eastAsia" w:ascii="仿宋" w:hAnsi="仿宋" w:cs="仿宋"/>
                <w:i/>
                <w:color w:val="808080"/>
                <w:sz w:val="24"/>
              </w:rPr>
              <w:br w:type="textWrapping"/>
            </w:r>
            <w:r>
              <w:rPr>
                <w:rFonts w:hint="eastAsia" w:ascii="仿宋" w:hAnsi="仿宋" w:cs="仿宋"/>
                <w:sz w:val="24"/>
              </w:rPr>
              <w:t>1.人工拧紧依赖员工责任心，漏拧、错拧现象时有发生，单班平均出现3-5起拧紧异常；</w:t>
            </w:r>
          </w:p>
          <w:p w14:paraId="7438DEF3">
            <w:pPr>
              <w:numPr>
                <w:ilvl w:val="0"/>
                <w:numId w:val="2"/>
              </w:numPr>
              <w:spacing w:line="240" w:lineRule="auto"/>
              <w:ind w:firstLine="0" w:firstLineChars="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扭矩扳手定期校准但无法实时监控每颗螺栓拧紧扭矩，扭矩不合格品流出风险高；</w:t>
            </w:r>
          </w:p>
          <w:p w14:paraId="44CE18CC">
            <w:pPr>
              <w:numPr>
                <w:ilvl w:val="0"/>
                <w:numId w:val="2"/>
              </w:numPr>
              <w:spacing w:line="240" w:lineRule="auto"/>
              <w:ind w:firstLine="0" w:firstLineChars="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拧紧记录纸质留存，追溯困难，出现质量问题需花费大量时间排查；</w:t>
            </w:r>
          </w:p>
          <w:p w14:paraId="319A2227">
            <w:pPr>
              <w:numPr>
                <w:ilvl w:val="0"/>
                <w:numId w:val="2"/>
              </w:numPr>
              <w:spacing w:line="240" w:lineRule="auto"/>
              <w:ind w:firstLine="0" w:firstLineChars="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新员工培训周期长，防错意识建立慢；</w:t>
            </w:r>
          </w:p>
          <w:p w14:paraId="011CF60F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5.无法实现拧紧数据与工单、车辆VIN码的自动关联。</w:t>
            </w:r>
          </w:p>
        </w:tc>
      </w:tr>
      <w:tr w14:paraId="55C13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Align w:val="center"/>
          </w:tcPr>
          <w:p w14:paraId="7067427A">
            <w:pPr>
              <w:spacing w:line="240" w:lineRule="auto"/>
              <w:ind w:firstLine="422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color w:val="C00000"/>
                <w:sz w:val="21"/>
                <w:szCs w:val="21"/>
              </w:rPr>
              <w:t>【必填】</w:t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t>2.3适用范围</w:t>
            </w:r>
          </w:p>
        </w:tc>
        <w:tc>
          <w:tcPr>
            <w:tcW w:w="7163" w:type="dxa"/>
          </w:tcPr>
          <w:p w14:paraId="446E47B1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（不超过150字）</w:t>
            </w:r>
            <w:r>
              <w:rPr>
                <w:rFonts w:hint="eastAsia" w:ascii="仿宋" w:hAnsi="仿宋" w:cs="仿宋"/>
                <w:i/>
                <w:color w:val="808080"/>
                <w:sz w:val="24"/>
              </w:rPr>
              <w:br w:type="textWrapping"/>
            </w:r>
            <w:r>
              <w:rPr>
                <w:rFonts w:hint="eastAsia" w:ascii="仿宋" w:hAnsi="仿宋" w:cs="仿宋"/>
                <w:sz w:val="24"/>
              </w:rPr>
              <w:t>适用于乘用车总装车间关键螺栓拧紧工位，包括底盘线、最终线等涉及安全关键螺栓的装配工位；适用于混线生产多车型平台；适配扭矩范围20-200Nm的螺栓拧紧作业。</w:t>
            </w:r>
          </w:p>
        </w:tc>
      </w:tr>
      <w:tr w14:paraId="48369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Align w:val="center"/>
          </w:tcPr>
          <w:p w14:paraId="7078408A">
            <w:pPr>
              <w:spacing w:line="240" w:lineRule="auto"/>
              <w:ind w:firstLine="422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sz w:val="21"/>
                <w:szCs w:val="21"/>
              </w:rPr>
              <w:t>【选填】</w:t>
            </w:r>
            <w:r>
              <w:rPr>
                <w:rFonts w:hint="eastAsia" w:ascii="仿宋" w:hAnsi="仿宋" w:cs="仿宋"/>
                <w:b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sz w:val="24"/>
              </w:rPr>
              <w:t>2.4不包含范围</w:t>
            </w:r>
          </w:p>
        </w:tc>
        <w:tc>
          <w:tcPr>
            <w:tcW w:w="7163" w:type="dxa"/>
          </w:tcPr>
          <w:p w14:paraId="5050D635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（不超过100字）</w:t>
            </w:r>
            <w:r>
              <w:rPr>
                <w:rFonts w:hint="eastAsia" w:ascii="仿宋" w:hAnsi="仿宋" w:cs="仿宋"/>
                <w:i/>
                <w:color w:val="808080"/>
                <w:sz w:val="24"/>
              </w:rPr>
              <w:br w:type="textWrapping"/>
            </w:r>
            <w:r>
              <w:rPr>
                <w:rFonts w:hint="eastAsia" w:ascii="仿宋" w:hAnsi="仿宋" w:cs="仿宋"/>
                <w:sz w:val="24"/>
              </w:rPr>
              <w:t>不覆盖非关键螺栓（如内饰卡扣、标准件预紧）的拧紧作业；不覆盖发动机、变速器等分装线的螺栓拧紧；不包含螺栓来料质量检测。</w:t>
            </w:r>
          </w:p>
        </w:tc>
      </w:tr>
      <w:tr w14:paraId="7508E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Align w:val="center"/>
          </w:tcPr>
          <w:p w14:paraId="70F0DB79">
            <w:pPr>
              <w:spacing w:line="240" w:lineRule="auto"/>
              <w:ind w:firstLine="422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color w:val="C00000"/>
                <w:sz w:val="21"/>
                <w:szCs w:val="21"/>
              </w:rPr>
              <w:t>【必填】</w:t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t>2.5前置条件</w:t>
            </w:r>
          </w:p>
        </w:tc>
        <w:tc>
          <w:tcPr>
            <w:tcW w:w="7163" w:type="dxa"/>
          </w:tcPr>
          <w:p w14:paraId="63209BE1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（不超过400字）</w:t>
            </w:r>
            <w:r>
              <w:rPr>
                <w:rFonts w:hint="eastAsia" w:ascii="仿宋" w:hAnsi="仿宋" w:cs="仿宋"/>
                <w:i/>
                <w:color w:val="808080"/>
                <w:sz w:val="24"/>
              </w:rPr>
              <w:br w:type="textWrapping"/>
            </w:r>
            <w:r>
              <w:rPr>
                <w:rFonts w:hint="eastAsia" w:ascii="仿宋" w:hAnsi="仿宋" w:cs="仿宋"/>
                <w:sz w:val="24"/>
              </w:rPr>
              <w:t>1.工位已配备智能扭矩枪（支持数据输出）；2.MES系统已部署并支持工位数据接口；3.工位上方已安装工业相机或具备安装条件；4.网络覆盖到位，支持数据实时传输；5.已完成关键螺栓清单梳理及扭矩标准定义；6.操作工已完成基础培训。</w:t>
            </w:r>
          </w:p>
        </w:tc>
      </w:tr>
      <w:tr w14:paraId="2150B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Align w:val="center"/>
          </w:tcPr>
          <w:p w14:paraId="71C751FC">
            <w:pPr>
              <w:spacing w:line="240" w:lineRule="auto"/>
              <w:ind w:firstLine="422"/>
              <w:rPr>
                <w:rFonts w:hint="eastAsia" w:ascii="仿宋" w:hAnsi="仿宋" w:cs="仿宋"/>
                <w:b/>
                <w:color w:val="C00000"/>
                <w:sz w:val="24"/>
              </w:rPr>
            </w:pPr>
            <w:r>
              <w:rPr>
                <w:rFonts w:hint="eastAsia" w:ascii="仿宋" w:hAnsi="仿宋" w:cs="仿宋"/>
                <w:b/>
                <w:color w:val="C00000"/>
                <w:sz w:val="21"/>
                <w:szCs w:val="21"/>
              </w:rPr>
              <w:t>【必填】</w:t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t>2.6技术方案</w:t>
            </w:r>
          </w:p>
        </w:tc>
        <w:tc>
          <w:tcPr>
            <w:tcW w:w="7163" w:type="dxa"/>
          </w:tcPr>
          <w:p w14:paraId="06A129DC">
            <w:pPr>
              <w:spacing w:line="240" w:lineRule="auto"/>
              <w:ind w:left="480" w:leftChars="150" w:firstLine="0" w:firstLineChars="0"/>
              <w:rPr>
                <w:rFonts w:hint="eastAsia" w:ascii="仿宋" w:hAnsi="仿宋" w:cs="仿宋"/>
                <w:i/>
                <w:color w:val="808080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（不超过600字）</w:t>
            </w:r>
          </w:p>
          <w:p w14:paraId="6FCF9364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本实践采用“视觉识别+智能拧紧+系统防错”三层架构：感知层通过500万像素工业相机对螺栓型号进行视觉识别校验，智能扭矩枪实时采集扭矩/角度数据；执行层由PLC控制扭矩枪锁止/解锁，地面阻挡器控制车辆流转；系统层MES接收VIN码调取车型螺栓清单，比对视觉识别结果与扭矩数据，判定拧紧合格性，不合格则声光报警并阻止车辆下线。</w:t>
            </w:r>
          </w:p>
          <w:p w14:paraId="0956658F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所有拧紧数据与VIN码、工单、操作工、时间戳关联存储，支持全流程追溯。</w:t>
            </w:r>
          </w:p>
          <w:p w14:paraId="5282C6BC">
            <w:pPr>
              <w:spacing w:line="240" w:lineRule="auto"/>
              <w:ind w:firstLine="0" w:firstLineChars="0"/>
              <w:jc w:val="center"/>
            </w:pPr>
            <w:r>
              <w:drawing>
                <wp:inline distT="0" distB="0" distL="114300" distR="114300">
                  <wp:extent cx="3310890" cy="2207260"/>
                  <wp:effectExtent l="0" t="0" r="11430" b="254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0890" cy="220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0F0571">
            <w:pPr>
              <w:spacing w:line="240" w:lineRule="auto"/>
              <w:ind w:firstLine="0" w:firstLineChars="0"/>
              <w:jc w:val="center"/>
            </w:pPr>
            <w:r>
              <w:rPr>
                <w:rFonts w:hint="eastAsia" w:ascii="仿宋" w:hAnsi="仿宋" w:cs="仿宋"/>
                <w:sz w:val="24"/>
              </w:rPr>
              <w:t>图2  智能防错系统三层架构示意图（</w:t>
            </w:r>
            <w:r>
              <w:rPr>
                <w:rFonts w:hint="eastAsia" w:eastAsiaTheme="minorEastAsia"/>
                <w:sz w:val="24"/>
              </w:rPr>
              <w:t>仅示意参考</w:t>
            </w:r>
            <w:r>
              <w:rPr>
                <w:rFonts w:hint="eastAsia" w:ascii="仿宋" w:hAnsi="仿宋" w:cs="仿宋"/>
                <w:sz w:val="24"/>
              </w:rPr>
              <w:t>）</w:t>
            </w:r>
          </w:p>
        </w:tc>
      </w:tr>
    </w:tbl>
    <w:p w14:paraId="3076A02C">
      <w:pPr>
        <w:spacing w:line="440" w:lineRule="exact"/>
        <w:ind w:firstLine="0" w:firstLineChars="0"/>
        <w:rPr>
          <w:rFonts w:eastAsiaTheme="minorEastAsia"/>
          <w:sz w:val="24"/>
        </w:rPr>
      </w:pPr>
    </w:p>
    <w:p w14:paraId="51EB96FE">
      <w:pPr>
        <w:keepNext/>
        <w:keepLines/>
        <w:spacing w:before="60" w:after="60" w:line="240" w:lineRule="auto"/>
        <w:ind w:firstLine="562"/>
        <w:outlineLvl w:val="0"/>
        <w:rPr>
          <w:rFonts w:eastAsia="黑体"/>
          <w:b/>
          <w:kern w:val="44"/>
          <w:sz w:val="28"/>
        </w:rPr>
      </w:pPr>
      <w:r>
        <w:rPr>
          <w:rFonts w:hint="eastAsia" w:eastAsia="黑体"/>
          <w:b/>
          <w:kern w:val="44"/>
          <w:sz w:val="28"/>
        </w:rPr>
        <w:t>第三部分 参与主体与全业务流程</w:t>
      </w:r>
    </w:p>
    <w:p w14:paraId="560C7466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3.1 核心参与者清单</w:t>
      </w:r>
      <w:r>
        <w:rPr>
          <w:rFonts w:hint="eastAsia"/>
          <w:b/>
          <w:color w:val="C00000"/>
          <w:sz w:val="21"/>
        </w:rPr>
        <w:t>【必填】</w:t>
      </w:r>
    </w:p>
    <w:p w14:paraId="36DA5D00">
      <w:pPr>
        <w:spacing w:after="156" w:afterLines="50"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本实践涉及的主要参与角色/部门/系统/外部方。（可增加行）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3"/>
        <w:gridCol w:w="2085"/>
        <w:gridCol w:w="3155"/>
        <w:gridCol w:w="1273"/>
      </w:tblGrid>
      <w:tr w14:paraId="33FFB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3" w:type="dxa"/>
            <w:shd w:val="clear" w:color="auto" w:fill="D9E2F3"/>
          </w:tcPr>
          <w:p w14:paraId="722E8AB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参与类别</w:t>
            </w:r>
          </w:p>
        </w:tc>
        <w:tc>
          <w:tcPr>
            <w:tcW w:w="2085" w:type="dxa"/>
            <w:shd w:val="clear" w:color="auto" w:fill="D9E2F3"/>
          </w:tcPr>
          <w:p w14:paraId="7E8C4D6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具体名称</w:t>
            </w:r>
          </w:p>
        </w:tc>
        <w:tc>
          <w:tcPr>
            <w:tcW w:w="3155" w:type="dxa"/>
            <w:shd w:val="clear" w:color="auto" w:fill="D9E2F3"/>
          </w:tcPr>
          <w:p w14:paraId="6782F1E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主要职责</w:t>
            </w:r>
          </w:p>
        </w:tc>
        <w:tc>
          <w:tcPr>
            <w:tcW w:w="1273" w:type="dxa"/>
            <w:shd w:val="clear" w:color="auto" w:fill="D9E2F3"/>
          </w:tcPr>
          <w:p w14:paraId="2586809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备注</w:t>
            </w:r>
          </w:p>
        </w:tc>
      </w:tr>
      <w:tr w14:paraId="7FAE0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3" w:type="dxa"/>
          </w:tcPr>
          <w:p w14:paraId="74E6DC10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主要执行岗位/人员</w:t>
            </w:r>
          </w:p>
        </w:tc>
        <w:tc>
          <w:tcPr>
            <w:tcW w:w="2085" w:type="dxa"/>
          </w:tcPr>
          <w:p w14:paraId="57953DB5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总装车间装配操作工</w:t>
            </w:r>
          </w:p>
        </w:tc>
        <w:tc>
          <w:tcPr>
            <w:tcW w:w="3155" w:type="dxa"/>
          </w:tcPr>
          <w:p w14:paraId="136D382D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按SOP执行螺栓拧紧作业，确认系统防错提示</w:t>
            </w:r>
          </w:p>
        </w:tc>
        <w:tc>
          <w:tcPr>
            <w:tcW w:w="1273" w:type="dxa"/>
          </w:tcPr>
          <w:p w14:paraId="6010CDA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</w:p>
        </w:tc>
      </w:tr>
      <w:tr w14:paraId="35337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3" w:type="dxa"/>
          </w:tcPr>
          <w:p w14:paraId="5377E2F7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主要执行岗位/人员</w:t>
            </w:r>
          </w:p>
        </w:tc>
        <w:tc>
          <w:tcPr>
            <w:tcW w:w="2085" w:type="dxa"/>
          </w:tcPr>
          <w:p w14:paraId="394AFF10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班组长</w:t>
            </w:r>
          </w:p>
        </w:tc>
        <w:tc>
          <w:tcPr>
            <w:tcW w:w="3155" w:type="dxa"/>
          </w:tcPr>
          <w:p w14:paraId="0D27E0C8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异常处置确认、交接班检查</w:t>
            </w:r>
          </w:p>
        </w:tc>
        <w:tc>
          <w:tcPr>
            <w:tcW w:w="1273" w:type="dxa"/>
          </w:tcPr>
          <w:p w14:paraId="4DE7159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</w:p>
        </w:tc>
      </w:tr>
      <w:tr w14:paraId="7B1F6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3" w:type="dxa"/>
          </w:tcPr>
          <w:p w14:paraId="12384BCC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协同部门/岗位</w:t>
            </w:r>
          </w:p>
        </w:tc>
        <w:tc>
          <w:tcPr>
            <w:tcW w:w="2085" w:type="dxa"/>
          </w:tcPr>
          <w:p w14:paraId="14C081D1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工艺工程部</w:t>
            </w:r>
          </w:p>
        </w:tc>
        <w:tc>
          <w:tcPr>
            <w:tcW w:w="3155" w:type="dxa"/>
          </w:tcPr>
          <w:p w14:paraId="3840E4F3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螺栓清单梳理、扭矩标准定义、SOP编制</w:t>
            </w:r>
          </w:p>
        </w:tc>
        <w:tc>
          <w:tcPr>
            <w:tcW w:w="1273" w:type="dxa"/>
          </w:tcPr>
          <w:p w14:paraId="2C9C16B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</w:p>
        </w:tc>
      </w:tr>
      <w:tr w14:paraId="1C948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3" w:type="dxa"/>
          </w:tcPr>
          <w:p w14:paraId="7F59C681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协同部门/岗位</w:t>
            </w:r>
          </w:p>
        </w:tc>
        <w:tc>
          <w:tcPr>
            <w:tcW w:w="2085" w:type="dxa"/>
          </w:tcPr>
          <w:p w14:paraId="3221307C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质量部</w:t>
            </w:r>
          </w:p>
        </w:tc>
        <w:tc>
          <w:tcPr>
            <w:tcW w:w="3155" w:type="dxa"/>
          </w:tcPr>
          <w:p w14:paraId="3E4DD4FF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防错效果验证、质量追溯管理</w:t>
            </w:r>
          </w:p>
        </w:tc>
        <w:tc>
          <w:tcPr>
            <w:tcW w:w="1273" w:type="dxa"/>
          </w:tcPr>
          <w:p w14:paraId="4AF10D3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</w:p>
        </w:tc>
      </w:tr>
      <w:tr w14:paraId="168C1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43" w:type="dxa"/>
          </w:tcPr>
          <w:p w14:paraId="09939346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协同部门/岗位</w:t>
            </w:r>
          </w:p>
        </w:tc>
        <w:tc>
          <w:tcPr>
            <w:tcW w:w="2085" w:type="dxa"/>
          </w:tcPr>
          <w:p w14:paraId="7D858E50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IT/数字化部</w:t>
            </w:r>
          </w:p>
        </w:tc>
        <w:tc>
          <w:tcPr>
            <w:tcW w:w="3155" w:type="dxa"/>
          </w:tcPr>
          <w:p w14:paraId="07B18183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MES系统开发维护、数据接口开发</w:t>
            </w:r>
          </w:p>
        </w:tc>
        <w:tc>
          <w:tcPr>
            <w:tcW w:w="1273" w:type="dxa"/>
          </w:tcPr>
          <w:p w14:paraId="3FC2282D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</w:p>
        </w:tc>
      </w:tr>
      <w:tr w14:paraId="4699A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3" w:type="dxa"/>
          </w:tcPr>
          <w:p w14:paraId="17A4CFA8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关联设备/信息系统</w:t>
            </w:r>
          </w:p>
        </w:tc>
        <w:tc>
          <w:tcPr>
            <w:tcW w:w="2085" w:type="dxa"/>
          </w:tcPr>
          <w:p w14:paraId="28BF232B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智能扭矩枪、工业相机、MES、PLC</w:t>
            </w:r>
          </w:p>
        </w:tc>
        <w:tc>
          <w:tcPr>
            <w:tcW w:w="3155" w:type="dxa"/>
          </w:tcPr>
          <w:p w14:paraId="47B4F8DF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扭矩采集与控制、螺栓识别、数据存储与追溯</w:t>
            </w:r>
          </w:p>
        </w:tc>
        <w:tc>
          <w:tcPr>
            <w:tcW w:w="1273" w:type="dxa"/>
          </w:tcPr>
          <w:p w14:paraId="04BC4B1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</w:p>
        </w:tc>
      </w:tr>
      <w:tr w14:paraId="30B55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3" w:type="dxa"/>
          </w:tcPr>
          <w:p w14:paraId="0FBC5DF4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外部协同合作方</w:t>
            </w:r>
          </w:p>
        </w:tc>
        <w:tc>
          <w:tcPr>
            <w:tcW w:w="2085" w:type="dxa"/>
          </w:tcPr>
          <w:p w14:paraId="486D1BCD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系统集成商、视觉算法供应商</w:t>
            </w:r>
          </w:p>
        </w:tc>
        <w:tc>
          <w:tcPr>
            <w:tcW w:w="3155" w:type="dxa"/>
          </w:tcPr>
          <w:p w14:paraId="1CD0703A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系统集成实施、视觉算法开发与调优</w:t>
            </w:r>
          </w:p>
        </w:tc>
        <w:tc>
          <w:tcPr>
            <w:tcW w:w="1273" w:type="dxa"/>
          </w:tcPr>
          <w:p w14:paraId="036E1201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</w:p>
        </w:tc>
      </w:tr>
    </w:tbl>
    <w:p w14:paraId="3787FA84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3.2 标准主流程</w:t>
      </w:r>
      <w:r>
        <w:rPr>
          <w:rFonts w:hint="eastAsia"/>
          <w:b/>
          <w:color w:val="C00000"/>
          <w:sz w:val="21"/>
        </w:rPr>
        <w:t>【必填】</w:t>
      </w:r>
    </w:p>
    <w:p w14:paraId="76A25B70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采用泳道图形式描述全流程：“行”为流程步骤，“列”为参与角色/部门，交叉单元格填写该角色在该步骤的具体动作、系统交互或数据流转。</w:t>
      </w:r>
    </w:p>
    <w:p w14:paraId="4D9ACE73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（如角色较多可自行增加列，步骤较多可增加行。也可额外增加自行绘制的基于泳道图形式的业务流程图。）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474"/>
        <w:gridCol w:w="1361"/>
        <w:gridCol w:w="1928"/>
        <w:gridCol w:w="1361"/>
        <w:gridCol w:w="1531"/>
      </w:tblGrid>
      <w:tr w14:paraId="7FA0E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shd w:val="clear" w:color="auto" w:fill="D9E2F3"/>
          </w:tcPr>
          <w:p w14:paraId="46EEE7DF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sz w:val="21"/>
                <w:szCs w:val="21"/>
              </w:rPr>
              <w:t>流程步骤</w:t>
            </w:r>
          </w:p>
        </w:tc>
        <w:tc>
          <w:tcPr>
            <w:tcW w:w="1474" w:type="dxa"/>
            <w:shd w:val="clear" w:color="auto" w:fill="D9E2F3"/>
          </w:tcPr>
          <w:p w14:paraId="56422489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sz w:val="21"/>
                <w:szCs w:val="21"/>
              </w:rPr>
              <w:t>操作工</w:t>
            </w:r>
          </w:p>
        </w:tc>
        <w:tc>
          <w:tcPr>
            <w:tcW w:w="1361" w:type="dxa"/>
            <w:shd w:val="clear" w:color="auto" w:fill="D9E2F3"/>
          </w:tcPr>
          <w:p w14:paraId="42808365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sz w:val="21"/>
                <w:szCs w:val="21"/>
              </w:rPr>
              <w:t>班组长</w:t>
            </w:r>
          </w:p>
        </w:tc>
        <w:tc>
          <w:tcPr>
            <w:tcW w:w="1928" w:type="dxa"/>
            <w:shd w:val="clear" w:color="auto" w:fill="D9E2F3"/>
          </w:tcPr>
          <w:p w14:paraId="573D9B8C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sz w:val="21"/>
                <w:szCs w:val="21"/>
              </w:rPr>
              <w:t>IT/MES系统</w:t>
            </w:r>
          </w:p>
        </w:tc>
        <w:tc>
          <w:tcPr>
            <w:tcW w:w="1361" w:type="dxa"/>
            <w:shd w:val="clear" w:color="auto" w:fill="D9E2F3"/>
          </w:tcPr>
          <w:p w14:paraId="71852C3D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sz w:val="21"/>
                <w:szCs w:val="21"/>
              </w:rPr>
              <w:t>质量部</w:t>
            </w:r>
          </w:p>
        </w:tc>
        <w:tc>
          <w:tcPr>
            <w:tcW w:w="1531" w:type="dxa"/>
            <w:shd w:val="clear" w:color="auto" w:fill="D9E2F3"/>
          </w:tcPr>
          <w:p w14:paraId="1CFF0CF5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sz w:val="21"/>
                <w:szCs w:val="21"/>
              </w:rPr>
              <w:t>工艺工程部</w:t>
            </w:r>
          </w:p>
        </w:tc>
      </w:tr>
      <w:tr w14:paraId="628A3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shd w:val="clear" w:color="auto" w:fill="F2F2F2"/>
          </w:tcPr>
          <w:p w14:paraId="5A2F7D36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sz w:val="21"/>
                <w:szCs w:val="21"/>
              </w:rPr>
              <w:t>步骤1</w:t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t>车辆到位</w:t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t>扫码识别</w:t>
            </w:r>
          </w:p>
        </w:tc>
        <w:tc>
          <w:tcPr>
            <w:tcW w:w="1474" w:type="dxa"/>
          </w:tcPr>
          <w:p w14:paraId="6AE3610C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扫描VIN码，确认车型及螺栓清单</w:t>
            </w:r>
          </w:p>
        </w:tc>
        <w:tc>
          <w:tcPr>
            <w:tcW w:w="1361" w:type="dxa"/>
          </w:tcPr>
          <w:p w14:paraId="300F00CC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</w:p>
        </w:tc>
        <w:tc>
          <w:tcPr>
            <w:tcW w:w="1928" w:type="dxa"/>
          </w:tcPr>
          <w:p w14:paraId="4A9E5A44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MES接收VIN，调取该车型关键螺栓拧紧要求（扭矩、数量、位置）</w:t>
            </w:r>
          </w:p>
        </w:tc>
        <w:tc>
          <w:tcPr>
            <w:tcW w:w="1361" w:type="dxa"/>
          </w:tcPr>
          <w:p w14:paraId="37F9B979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</w:p>
        </w:tc>
        <w:tc>
          <w:tcPr>
            <w:tcW w:w="1531" w:type="dxa"/>
          </w:tcPr>
          <w:p w14:paraId="024D1779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前期已完成螺栓清单与扭矩标准录入MES</w:t>
            </w:r>
          </w:p>
        </w:tc>
      </w:tr>
      <w:tr w14:paraId="5B4A4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shd w:val="clear" w:color="auto" w:fill="F2F2F2"/>
          </w:tcPr>
          <w:p w14:paraId="6CB2AA00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sz w:val="21"/>
                <w:szCs w:val="21"/>
              </w:rPr>
              <w:t>步骤2</w:t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t>螺栓识别</w:t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t>视觉校验</w:t>
            </w:r>
          </w:p>
        </w:tc>
        <w:tc>
          <w:tcPr>
            <w:tcW w:w="1474" w:type="dxa"/>
          </w:tcPr>
          <w:p w14:paraId="1D30C20E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取螺栓，对准工位</w:t>
            </w:r>
          </w:p>
        </w:tc>
        <w:tc>
          <w:tcPr>
            <w:tcW w:w="1361" w:type="dxa"/>
          </w:tcPr>
          <w:p w14:paraId="729156E5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</w:p>
        </w:tc>
        <w:tc>
          <w:tcPr>
            <w:tcW w:w="1928" w:type="dxa"/>
          </w:tcPr>
          <w:p w14:paraId="4CBF77CA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工业相机识别螺栓型号，与MES清单比对；型号不符则声光报警</w:t>
            </w:r>
          </w:p>
        </w:tc>
        <w:tc>
          <w:tcPr>
            <w:tcW w:w="1361" w:type="dxa"/>
          </w:tcPr>
          <w:p w14:paraId="68637019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</w:p>
        </w:tc>
        <w:tc>
          <w:tcPr>
            <w:tcW w:w="1531" w:type="dxa"/>
          </w:tcPr>
          <w:p w14:paraId="49D0689E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</w:p>
        </w:tc>
      </w:tr>
      <w:tr w14:paraId="471B7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shd w:val="clear" w:color="auto" w:fill="F2F2F2"/>
          </w:tcPr>
          <w:p w14:paraId="4AA101EC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sz w:val="21"/>
                <w:szCs w:val="21"/>
              </w:rPr>
              <w:t>步骤3</w:t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t>智能拧紧</w:t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t>实时监控</w:t>
            </w:r>
          </w:p>
        </w:tc>
        <w:tc>
          <w:tcPr>
            <w:tcW w:w="1474" w:type="dxa"/>
          </w:tcPr>
          <w:p w14:paraId="1DD38DFB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使用智能扭矩枪拧紧螺栓</w:t>
            </w:r>
          </w:p>
        </w:tc>
        <w:tc>
          <w:tcPr>
            <w:tcW w:w="1361" w:type="dxa"/>
          </w:tcPr>
          <w:p w14:paraId="57FAA874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</w:p>
        </w:tc>
        <w:tc>
          <w:tcPr>
            <w:tcW w:w="1928" w:type="dxa"/>
          </w:tcPr>
          <w:p w14:paraId="461D54EA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扭矩枪实时传输扭矩/角度数据至MES；不达扭矩自动锁枪</w:t>
            </w:r>
          </w:p>
        </w:tc>
        <w:tc>
          <w:tcPr>
            <w:tcW w:w="1361" w:type="dxa"/>
          </w:tcPr>
          <w:p w14:paraId="6E4F68A0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</w:p>
        </w:tc>
        <w:tc>
          <w:tcPr>
            <w:tcW w:w="1531" w:type="dxa"/>
          </w:tcPr>
          <w:p w14:paraId="776DB73C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</w:p>
        </w:tc>
      </w:tr>
      <w:tr w14:paraId="11AC6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shd w:val="clear" w:color="auto" w:fill="F2F2F2"/>
          </w:tcPr>
          <w:p w14:paraId="0373CCF5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sz w:val="21"/>
                <w:szCs w:val="21"/>
              </w:rPr>
              <w:t>步骤4</w:t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t>防错校验</w:t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t>结果判定</w:t>
            </w:r>
          </w:p>
        </w:tc>
        <w:tc>
          <w:tcPr>
            <w:tcW w:w="1474" w:type="dxa"/>
          </w:tcPr>
          <w:p w14:paraId="0C8A92FF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确认系统显示拧紧合格</w:t>
            </w:r>
          </w:p>
        </w:tc>
        <w:tc>
          <w:tcPr>
            <w:tcW w:w="1361" w:type="dxa"/>
          </w:tcPr>
          <w:p w14:paraId="3B35F8C2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异常时呼叫班组长</w:t>
            </w:r>
          </w:p>
        </w:tc>
        <w:tc>
          <w:tcPr>
            <w:tcW w:w="1928" w:type="dxa"/>
          </w:tcPr>
          <w:p w14:paraId="20950631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MES判定拧紧结果：合格/不合格；不合格则标记车辆并禁止下线</w:t>
            </w:r>
          </w:p>
        </w:tc>
        <w:tc>
          <w:tcPr>
            <w:tcW w:w="1361" w:type="dxa"/>
          </w:tcPr>
          <w:p w14:paraId="101B45DE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定期抽检拧紧质量</w:t>
            </w:r>
          </w:p>
        </w:tc>
        <w:tc>
          <w:tcPr>
            <w:tcW w:w="1531" w:type="dxa"/>
          </w:tcPr>
          <w:p w14:paraId="015414BE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</w:p>
        </w:tc>
      </w:tr>
      <w:tr w14:paraId="186AF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shd w:val="clear" w:color="auto" w:fill="F2F2F2"/>
          </w:tcPr>
          <w:p w14:paraId="1F0E740E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sz w:val="21"/>
                <w:szCs w:val="21"/>
              </w:rPr>
              <w:t>步骤5</w:t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t>数据存档</w:t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t>追溯关联</w:t>
            </w:r>
          </w:p>
        </w:tc>
        <w:tc>
          <w:tcPr>
            <w:tcW w:w="1474" w:type="dxa"/>
          </w:tcPr>
          <w:p w14:paraId="08870429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</w:p>
        </w:tc>
        <w:tc>
          <w:tcPr>
            <w:tcW w:w="1361" w:type="dxa"/>
          </w:tcPr>
          <w:p w14:paraId="3EB7442B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</w:p>
        </w:tc>
        <w:tc>
          <w:tcPr>
            <w:tcW w:w="1928" w:type="dxa"/>
          </w:tcPr>
          <w:p w14:paraId="17BEE859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MES将拧紧数据与VIN码、工单、操作工、时间戳关联存储</w:t>
            </w:r>
          </w:p>
        </w:tc>
        <w:tc>
          <w:tcPr>
            <w:tcW w:w="1361" w:type="dxa"/>
          </w:tcPr>
          <w:p w14:paraId="11E45B7A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质量数据归档</w:t>
            </w:r>
          </w:p>
        </w:tc>
        <w:tc>
          <w:tcPr>
            <w:tcW w:w="1531" w:type="dxa"/>
          </w:tcPr>
          <w:p w14:paraId="00961331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</w:p>
        </w:tc>
      </w:tr>
      <w:tr w14:paraId="6FAD8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shd w:val="clear" w:color="auto" w:fill="F2F2F2"/>
          </w:tcPr>
          <w:p w14:paraId="5A9DF6CD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sz w:val="21"/>
                <w:szCs w:val="21"/>
              </w:rPr>
              <w:t>步骤6</w:t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t>异常处置</w:t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cs="仿宋"/>
                <w:b/>
                <w:sz w:val="21"/>
                <w:szCs w:val="21"/>
              </w:rPr>
              <w:t>闭环管理</w:t>
            </w:r>
          </w:p>
        </w:tc>
        <w:tc>
          <w:tcPr>
            <w:tcW w:w="1474" w:type="dxa"/>
          </w:tcPr>
          <w:p w14:paraId="7911F3CB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配合复检</w:t>
            </w:r>
          </w:p>
        </w:tc>
        <w:tc>
          <w:tcPr>
            <w:tcW w:w="1361" w:type="dxa"/>
          </w:tcPr>
          <w:p w14:paraId="40C2A8AF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确认异常原因，处置后解锁</w:t>
            </w:r>
          </w:p>
        </w:tc>
        <w:tc>
          <w:tcPr>
            <w:tcW w:w="1928" w:type="dxa"/>
          </w:tcPr>
          <w:p w14:paraId="06CE17D2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记录异常处置过程，更新车辆状态</w:t>
            </w:r>
          </w:p>
        </w:tc>
        <w:tc>
          <w:tcPr>
            <w:tcW w:w="1361" w:type="dxa"/>
          </w:tcPr>
          <w:p w14:paraId="2B748964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参与重大异常分析</w:t>
            </w:r>
          </w:p>
        </w:tc>
        <w:tc>
          <w:tcPr>
            <w:tcW w:w="1531" w:type="dxa"/>
          </w:tcPr>
          <w:p w14:paraId="30C77A5A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参与工艺优化</w:t>
            </w:r>
          </w:p>
        </w:tc>
      </w:tr>
    </w:tbl>
    <w:p w14:paraId="6FB7F486">
      <w:pPr>
        <w:spacing w:line="240" w:lineRule="auto"/>
        <w:ind w:firstLine="0" w:firstLineChars="0"/>
        <w:jc w:val="center"/>
      </w:pPr>
      <w:r>
        <w:drawing>
          <wp:inline distT="0" distB="0" distL="114300" distR="114300">
            <wp:extent cx="4396105" cy="2459990"/>
            <wp:effectExtent l="0" t="0" r="8255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96105" cy="245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CA2B3">
      <w:pPr>
        <w:spacing w:line="240" w:lineRule="auto"/>
        <w:ind w:firstLine="0" w:firstLineChars="0"/>
        <w:jc w:val="center"/>
        <w:rPr>
          <w:rFonts w:eastAsiaTheme="minorEastAsia"/>
        </w:rPr>
      </w:pPr>
      <w:r>
        <w:rPr>
          <w:rFonts w:hint="eastAsia" w:eastAsiaTheme="minorEastAsia"/>
          <w:sz w:val="24"/>
        </w:rPr>
        <w:t>图3  关键螺栓智能防错标准主流程图（仅示意参考）</w:t>
      </w:r>
    </w:p>
    <w:p w14:paraId="6E6AAE20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3.3 异常/分支处置流程</w:t>
      </w:r>
      <w:r>
        <w:rPr>
          <w:rFonts w:hint="eastAsia" w:ascii="仿宋" w:hAnsi="仿宋" w:cs="仿宋"/>
          <w:b/>
          <w:sz w:val="21"/>
          <w:szCs w:val="21"/>
        </w:rPr>
        <w:t>【选填】</w:t>
      </w:r>
    </w:p>
    <w:p w14:paraId="0DA700A2">
      <w:pPr>
        <w:spacing w:line="440" w:lineRule="exact"/>
        <w:ind w:firstLine="480"/>
        <w:rPr>
          <w:rFonts w:hint="eastAsia" w:ascii="仿宋" w:hAnsi="仿宋" w:cs="仿宋"/>
          <w:b/>
          <w:sz w:val="24"/>
        </w:rPr>
      </w:pPr>
      <w:r>
        <w:rPr>
          <w:rFonts w:hint="eastAsia" w:eastAsiaTheme="minorEastAsia"/>
          <w:sz w:val="24"/>
        </w:rPr>
        <w:t>针对设备故障、数据中断、工单变更、质量异常、物料短缺等典型情况填写处置流程。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2487"/>
        <w:gridCol w:w="1937"/>
        <w:gridCol w:w="3760"/>
      </w:tblGrid>
      <w:tr w14:paraId="38A7D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dxa"/>
            <w:shd w:val="clear" w:color="auto" w:fill="D9E2F3"/>
          </w:tcPr>
          <w:p w14:paraId="5ACFF5D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序号</w:t>
            </w:r>
          </w:p>
        </w:tc>
        <w:tc>
          <w:tcPr>
            <w:tcW w:w="2487" w:type="dxa"/>
            <w:shd w:val="clear" w:color="auto" w:fill="D9E2F3"/>
          </w:tcPr>
          <w:p w14:paraId="7716C1F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异常</w:t>
            </w: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</w:rPr>
              <w:t>情况</w:t>
            </w: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描述</w:t>
            </w:r>
          </w:p>
        </w:tc>
        <w:tc>
          <w:tcPr>
            <w:tcW w:w="1937" w:type="dxa"/>
            <w:shd w:val="clear" w:color="auto" w:fill="D9E2F3"/>
          </w:tcPr>
          <w:p w14:paraId="3F1B4B6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触发条件</w:t>
            </w:r>
          </w:p>
        </w:tc>
        <w:tc>
          <w:tcPr>
            <w:tcW w:w="3760" w:type="dxa"/>
            <w:shd w:val="clear" w:color="auto" w:fill="D9E2F3"/>
          </w:tcPr>
          <w:p w14:paraId="1527F32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</w:rPr>
              <w:t>处置流程（含责任角色）</w:t>
            </w:r>
          </w:p>
        </w:tc>
      </w:tr>
      <w:tr w14:paraId="4A7A4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dxa"/>
          </w:tcPr>
          <w:p w14:paraId="1B23204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</w:t>
            </w:r>
          </w:p>
        </w:tc>
        <w:tc>
          <w:tcPr>
            <w:tcW w:w="2487" w:type="dxa"/>
          </w:tcPr>
          <w:p w14:paraId="2D9A0163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螺栓型号识别错误/错装</w:t>
            </w:r>
          </w:p>
        </w:tc>
        <w:tc>
          <w:tcPr>
            <w:tcW w:w="1937" w:type="dxa"/>
          </w:tcPr>
          <w:p w14:paraId="0833F248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视觉系统比对螺栓型号与MES清单不一致</w:t>
            </w:r>
          </w:p>
        </w:tc>
        <w:tc>
          <w:tcPr>
            <w:tcW w:w="3760" w:type="dxa"/>
          </w:tcPr>
          <w:p w14:paraId="4BE27A4A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1.系统声光报警，扭矩枪自动锁定；2.操作工停止作业，呼叫班组长；3.班组长确认螺栓型号，更换正确螺栓后系统解锁；4.记录异常并关联VIN码。</w:t>
            </w:r>
          </w:p>
        </w:tc>
      </w:tr>
      <w:tr w14:paraId="2F7BA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dxa"/>
          </w:tcPr>
          <w:p w14:paraId="4F7583D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2</w:t>
            </w:r>
          </w:p>
        </w:tc>
        <w:tc>
          <w:tcPr>
            <w:tcW w:w="2487" w:type="dxa"/>
          </w:tcPr>
          <w:p w14:paraId="6A4FD440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扭矩/角度不达标</w:t>
            </w:r>
          </w:p>
        </w:tc>
        <w:tc>
          <w:tcPr>
            <w:tcW w:w="1937" w:type="dxa"/>
          </w:tcPr>
          <w:p w14:paraId="138E92D7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智能扭矩枪反馈扭矩或角度超出合格范围</w:t>
            </w:r>
          </w:p>
        </w:tc>
        <w:tc>
          <w:tcPr>
            <w:tcW w:w="3760" w:type="dxa"/>
          </w:tcPr>
          <w:p w14:paraId="5FA3F1AF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1.MES标记该螺栓不合格，车辆标记“待处理”；2.操作工复检，必要时更换螺栓重新拧紧；3.连续3次不合格则呼叫工艺工程师排查；4.处置完成后MES更新状态。</w:t>
            </w:r>
          </w:p>
        </w:tc>
      </w:tr>
      <w:tr w14:paraId="0C910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dxa"/>
          </w:tcPr>
          <w:p w14:paraId="36BCDD8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3</w:t>
            </w:r>
          </w:p>
        </w:tc>
        <w:tc>
          <w:tcPr>
            <w:tcW w:w="2487" w:type="dxa"/>
          </w:tcPr>
          <w:p w14:paraId="068C24F8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漏拧螺栓</w:t>
            </w:r>
          </w:p>
        </w:tc>
        <w:tc>
          <w:tcPr>
            <w:tcW w:w="1937" w:type="dxa"/>
          </w:tcPr>
          <w:p w14:paraId="49730128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MES统计已拧紧螺栓数量少于清单要求，车辆试图离开工位</w:t>
            </w:r>
          </w:p>
        </w:tc>
        <w:tc>
          <w:tcPr>
            <w:tcW w:w="3760" w:type="dxa"/>
          </w:tcPr>
          <w:p w14:paraId="5C0024CF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1.地面阻挡器自动升起，阻止车辆流转；2.声光提示操作工补拧；3.补拧完成且全部合格后阻挡器放行。</w:t>
            </w:r>
          </w:p>
        </w:tc>
      </w:tr>
      <w:tr w14:paraId="00A68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dxa"/>
          </w:tcPr>
          <w:p w14:paraId="337D2DA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4</w:t>
            </w:r>
          </w:p>
        </w:tc>
        <w:tc>
          <w:tcPr>
            <w:tcW w:w="2487" w:type="dxa"/>
          </w:tcPr>
          <w:p w14:paraId="644C41A4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网络中断/数据传输失败</w:t>
            </w:r>
          </w:p>
        </w:tc>
        <w:tc>
          <w:tcPr>
            <w:tcW w:w="1937" w:type="dxa"/>
          </w:tcPr>
          <w:p w14:paraId="5C7F2DB5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扭矩枪数据无法实时传输至MES</w:t>
            </w:r>
          </w:p>
        </w:tc>
        <w:tc>
          <w:tcPr>
            <w:tcW w:w="3760" w:type="dxa"/>
          </w:tcPr>
          <w:p w14:paraId="16095FA2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1.系统切换至本地缓存模式，扭矩枪继续工作但数据暂存；2.IT部门排查网络故障；3.网络恢复后数据自动补传；4.质量部对中断期间车辆进行100%复检。</w:t>
            </w:r>
          </w:p>
        </w:tc>
      </w:tr>
    </w:tbl>
    <w:p w14:paraId="10649732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3.4 后置状态</w:t>
      </w:r>
      <w:r>
        <w:rPr>
          <w:b/>
          <w:color w:val="C00000"/>
          <w:sz w:val="21"/>
        </w:rPr>
        <w:t>【必填】</w:t>
      </w:r>
    </w:p>
    <w:p w14:paraId="7E091BD9">
      <w:pPr>
        <w:spacing w:line="440" w:lineRule="exact"/>
        <w:ind w:firstLine="480"/>
        <w:rPr>
          <w:b/>
          <w:color w:val="C00000"/>
          <w:sz w:val="21"/>
        </w:rPr>
      </w:pPr>
      <w:r>
        <w:rPr>
          <w:rFonts w:hint="eastAsia" w:eastAsiaTheme="minorEastAsia"/>
          <w:sz w:val="24"/>
        </w:rPr>
        <w:t>描述全流程执行完毕后，产线、设备、系统、数据、工单、质量等最终标准状态。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3"/>
        <w:gridCol w:w="7043"/>
      </w:tblGrid>
      <w:tr w14:paraId="36270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3" w:type="dxa"/>
            <w:vAlign w:val="center"/>
          </w:tcPr>
          <w:p w14:paraId="3E7E528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</w:rPr>
              <w:t>流程执行完毕后最终状态</w:t>
            </w:r>
          </w:p>
        </w:tc>
        <w:tc>
          <w:tcPr>
            <w:tcW w:w="7043" w:type="dxa"/>
          </w:tcPr>
          <w:p w14:paraId="0F2FC1B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kern w:val="0"/>
                <w:sz w:val="24"/>
              </w:rPr>
              <w:t>（不超过300字）</w:t>
            </w:r>
            <w:r>
              <w:rPr>
                <w:rFonts w:hint="eastAsia" w:ascii="仿宋" w:hAnsi="仿宋" w:cs="仿宋"/>
                <w:i/>
                <w:color w:val="808080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cs="仿宋"/>
                <w:kern w:val="0"/>
                <w:sz w:val="24"/>
              </w:rPr>
              <w:t>1.所有关键螺栓均按标准扭矩拧紧合格，扭矩/角度数据完整；2.MES系统中该车辆VIN码关联完整拧紧数据（含螺栓型号、扭矩值、角度值、操作工、时间戳）；3.车辆防错状态为“合格”，可正常流转至下一工位；4.异常车辆已完成处置并闭环。</w:t>
            </w:r>
          </w:p>
        </w:tc>
      </w:tr>
    </w:tbl>
    <w:p w14:paraId="11841A75">
      <w:pPr>
        <w:spacing w:line="440" w:lineRule="exact"/>
        <w:ind w:firstLine="0" w:firstLineChars="0"/>
        <w:rPr>
          <w:b/>
          <w:color w:val="C00000"/>
          <w:sz w:val="21"/>
        </w:rPr>
      </w:pPr>
    </w:p>
    <w:p w14:paraId="13F7C24A">
      <w:pPr>
        <w:keepNext/>
        <w:keepLines/>
        <w:spacing w:before="60" w:after="60" w:line="240" w:lineRule="auto"/>
        <w:ind w:firstLine="562"/>
        <w:outlineLvl w:val="0"/>
        <w:rPr>
          <w:rFonts w:eastAsia="黑体"/>
          <w:bCs/>
          <w:kern w:val="44"/>
          <w:sz w:val="28"/>
        </w:rPr>
      </w:pPr>
      <w:r>
        <w:rPr>
          <w:rFonts w:hint="eastAsia" w:eastAsia="黑体"/>
          <w:b/>
          <w:kern w:val="44"/>
          <w:sz w:val="28"/>
        </w:rPr>
        <w:t>第四部分 技术、规则与数据规范</w:t>
      </w:r>
      <w:r>
        <w:rPr>
          <w:rFonts w:hint="eastAsia" w:eastAsia="黑体"/>
          <w:bCs/>
          <w:kern w:val="44"/>
          <w:sz w:val="28"/>
        </w:rPr>
        <w:t>（标准预研核心素材）</w:t>
      </w:r>
    </w:p>
    <w:p w14:paraId="22E544CF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4.1 核心技术、软硬件及工业协议清单</w:t>
      </w:r>
      <w:r>
        <w:rPr>
          <w:b/>
          <w:color w:val="C00000"/>
          <w:sz w:val="21"/>
        </w:rPr>
        <w:t>【必填】</w:t>
      </w:r>
    </w:p>
    <w:p w14:paraId="508D8E51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该实践涉及的软件系统、智能装备、传感器、通讯协议、平台架构和新兴技术等。</w:t>
      </w:r>
    </w:p>
    <w:tbl>
      <w:tblPr>
        <w:tblStyle w:val="7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1371"/>
        <w:gridCol w:w="2756"/>
        <w:gridCol w:w="4087"/>
      </w:tblGrid>
      <w:tr w14:paraId="1209F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" w:type="pct"/>
            <w:shd w:val="clear" w:color="auto" w:fill="D9E2F3"/>
          </w:tcPr>
          <w:p w14:paraId="6199A07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序号</w:t>
            </w:r>
          </w:p>
        </w:tc>
        <w:tc>
          <w:tcPr>
            <w:tcW w:w="774" w:type="pct"/>
            <w:shd w:val="clear" w:color="auto" w:fill="D9E2F3"/>
          </w:tcPr>
          <w:p w14:paraId="5DAD529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类别</w:t>
            </w:r>
          </w:p>
        </w:tc>
        <w:tc>
          <w:tcPr>
            <w:tcW w:w="1556" w:type="pct"/>
            <w:shd w:val="clear" w:color="auto" w:fill="D9E2F3"/>
          </w:tcPr>
          <w:p w14:paraId="5D472E0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项目名称</w:t>
            </w:r>
          </w:p>
        </w:tc>
        <w:tc>
          <w:tcPr>
            <w:tcW w:w="2308" w:type="pct"/>
            <w:shd w:val="clear" w:color="auto" w:fill="D9E2F3"/>
          </w:tcPr>
          <w:p w14:paraId="0EBD5F9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具体内容/型号/参数</w:t>
            </w:r>
          </w:p>
        </w:tc>
      </w:tr>
      <w:tr w14:paraId="17943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" w:type="pct"/>
          </w:tcPr>
          <w:p w14:paraId="23353A7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</w:t>
            </w:r>
          </w:p>
        </w:tc>
        <w:tc>
          <w:tcPr>
            <w:tcW w:w="774" w:type="pct"/>
          </w:tcPr>
          <w:p w14:paraId="4C11C512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智能装备</w:t>
            </w:r>
          </w:p>
        </w:tc>
        <w:tc>
          <w:tcPr>
            <w:tcW w:w="1556" w:type="pct"/>
          </w:tcPr>
          <w:p w14:paraId="60C22073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智能扭矩枪</w:t>
            </w:r>
          </w:p>
        </w:tc>
        <w:tc>
          <w:tcPr>
            <w:tcW w:w="2308" w:type="pct"/>
          </w:tcPr>
          <w:p w14:paraId="1263BE9C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某品牌EC系列，扭矩范围20-200Nm，精度±2%，支持WiFi数据传输</w:t>
            </w:r>
          </w:p>
        </w:tc>
      </w:tr>
      <w:tr w14:paraId="6FF03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" w:type="pct"/>
          </w:tcPr>
          <w:p w14:paraId="2B176EC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2</w:t>
            </w:r>
          </w:p>
        </w:tc>
        <w:tc>
          <w:tcPr>
            <w:tcW w:w="774" w:type="pct"/>
          </w:tcPr>
          <w:p w14:paraId="3D02D005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智能装备</w:t>
            </w:r>
          </w:p>
        </w:tc>
        <w:tc>
          <w:tcPr>
            <w:tcW w:w="1556" w:type="pct"/>
          </w:tcPr>
          <w:p w14:paraId="2FF31AF9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智能检测/视觉设备</w:t>
            </w:r>
          </w:p>
        </w:tc>
        <w:tc>
          <w:tcPr>
            <w:tcW w:w="2308" w:type="pct"/>
          </w:tcPr>
          <w:p w14:paraId="1C5E7D0E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500万像素工业相机+环形光源，识别准确率≥99.5%</w:t>
            </w:r>
          </w:p>
        </w:tc>
      </w:tr>
      <w:tr w14:paraId="05037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" w:type="pct"/>
          </w:tcPr>
          <w:p w14:paraId="6D82E42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3</w:t>
            </w:r>
          </w:p>
        </w:tc>
        <w:tc>
          <w:tcPr>
            <w:tcW w:w="774" w:type="pct"/>
          </w:tcPr>
          <w:p w14:paraId="51770488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智能装备</w:t>
            </w:r>
          </w:p>
        </w:tc>
        <w:tc>
          <w:tcPr>
            <w:tcW w:w="1556" w:type="pct"/>
          </w:tcPr>
          <w:p w14:paraId="5DF5ABF2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传感器/数据采集设备</w:t>
            </w:r>
          </w:p>
        </w:tc>
        <w:tc>
          <w:tcPr>
            <w:tcW w:w="2308" w:type="pct"/>
          </w:tcPr>
          <w:p w14:paraId="34D25B40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扭矩传感器内置扭矩枪；工位RFID阅读器</w:t>
            </w:r>
          </w:p>
        </w:tc>
      </w:tr>
      <w:tr w14:paraId="1E438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" w:type="pct"/>
          </w:tcPr>
          <w:p w14:paraId="70B216E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4</w:t>
            </w:r>
          </w:p>
        </w:tc>
        <w:tc>
          <w:tcPr>
            <w:tcW w:w="774" w:type="pct"/>
          </w:tcPr>
          <w:p w14:paraId="7B25B5E4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工业软件</w:t>
            </w:r>
          </w:p>
        </w:tc>
        <w:tc>
          <w:tcPr>
            <w:tcW w:w="1556" w:type="pct"/>
          </w:tcPr>
          <w:p w14:paraId="70BFF685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MES制造执行系统</w:t>
            </w:r>
          </w:p>
        </w:tc>
        <w:tc>
          <w:tcPr>
            <w:tcW w:w="2308" w:type="pct"/>
          </w:tcPr>
          <w:p w14:paraId="0F612E8D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自研MES，支持工位级数据采集与防错逻辑</w:t>
            </w:r>
          </w:p>
        </w:tc>
      </w:tr>
      <w:tr w14:paraId="6F929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" w:type="pct"/>
          </w:tcPr>
          <w:p w14:paraId="20F03DE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5</w:t>
            </w:r>
          </w:p>
        </w:tc>
        <w:tc>
          <w:tcPr>
            <w:tcW w:w="774" w:type="pct"/>
          </w:tcPr>
          <w:p w14:paraId="3B83BAFC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工业软件</w:t>
            </w:r>
          </w:p>
        </w:tc>
        <w:tc>
          <w:tcPr>
            <w:tcW w:w="1556" w:type="pct"/>
          </w:tcPr>
          <w:p w14:paraId="47A916E2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QMS质量管理系统</w:t>
            </w:r>
          </w:p>
        </w:tc>
        <w:tc>
          <w:tcPr>
            <w:tcW w:w="2308" w:type="pct"/>
          </w:tcPr>
          <w:p w14:paraId="3CDFC4ED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与MES集成，接收拧紧质量数据</w:t>
            </w:r>
          </w:p>
        </w:tc>
      </w:tr>
      <w:tr w14:paraId="1F370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" w:type="pct"/>
          </w:tcPr>
          <w:p w14:paraId="659F0E3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6</w:t>
            </w:r>
          </w:p>
        </w:tc>
        <w:tc>
          <w:tcPr>
            <w:tcW w:w="774" w:type="pct"/>
          </w:tcPr>
          <w:p w14:paraId="21F1B9F0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工业软件</w:t>
            </w:r>
          </w:p>
        </w:tc>
        <w:tc>
          <w:tcPr>
            <w:tcW w:w="1556" w:type="pct"/>
          </w:tcPr>
          <w:p w14:paraId="5176F11F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SCADA/数据采集系统</w:t>
            </w:r>
          </w:p>
        </w:tc>
        <w:tc>
          <w:tcPr>
            <w:tcW w:w="2308" w:type="pct"/>
          </w:tcPr>
          <w:p w14:paraId="5B0D104C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工位级数据采集，实时监控设备状态</w:t>
            </w:r>
          </w:p>
        </w:tc>
      </w:tr>
      <w:tr w14:paraId="17FA5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" w:type="pct"/>
          </w:tcPr>
          <w:p w14:paraId="1DCF692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7</w:t>
            </w:r>
          </w:p>
        </w:tc>
        <w:tc>
          <w:tcPr>
            <w:tcW w:w="774" w:type="pct"/>
          </w:tcPr>
          <w:p w14:paraId="39025377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网络通信</w:t>
            </w:r>
          </w:p>
        </w:tc>
        <w:tc>
          <w:tcPr>
            <w:tcW w:w="1556" w:type="pct"/>
          </w:tcPr>
          <w:p w14:paraId="2948C297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工业以太网</w:t>
            </w:r>
          </w:p>
        </w:tc>
        <w:tc>
          <w:tcPr>
            <w:tcW w:w="2308" w:type="pct"/>
          </w:tcPr>
          <w:p w14:paraId="675DE3D5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工位级工业以太网，百兆带宽</w:t>
            </w:r>
          </w:p>
        </w:tc>
      </w:tr>
      <w:tr w14:paraId="54541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" w:type="pct"/>
          </w:tcPr>
          <w:p w14:paraId="7B2C053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8</w:t>
            </w:r>
          </w:p>
        </w:tc>
        <w:tc>
          <w:tcPr>
            <w:tcW w:w="774" w:type="pct"/>
          </w:tcPr>
          <w:p w14:paraId="62D19574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网络通信</w:t>
            </w:r>
          </w:p>
        </w:tc>
        <w:tc>
          <w:tcPr>
            <w:tcW w:w="1556" w:type="pct"/>
          </w:tcPr>
          <w:p w14:paraId="1D5F6812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OPC UA/MQTT协议</w:t>
            </w:r>
          </w:p>
        </w:tc>
        <w:tc>
          <w:tcPr>
            <w:tcW w:w="2308" w:type="pct"/>
          </w:tcPr>
          <w:p w14:paraId="702847B6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扭矩枪通过MQTT协议上传数据</w:t>
            </w:r>
          </w:p>
        </w:tc>
      </w:tr>
    </w:tbl>
    <w:p w14:paraId="38AD8296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4.2 刚性业务规则</w:t>
      </w:r>
      <w:r>
        <w:rPr>
          <w:b/>
          <w:color w:val="C00000"/>
          <w:sz w:val="21"/>
        </w:rPr>
        <w:t>【必填】</w:t>
      </w:r>
    </w:p>
    <w:p w14:paraId="73779718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该实践涉及的工艺参数、操作规范、安全要求、质量阈值、权限要求等强制性条款。</w:t>
      </w:r>
    </w:p>
    <w:tbl>
      <w:tblPr>
        <w:tblStyle w:val="7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610"/>
        <w:gridCol w:w="2832"/>
        <w:gridCol w:w="3771"/>
      </w:tblGrid>
      <w:tr w14:paraId="7C600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" w:type="pct"/>
            <w:shd w:val="clear" w:color="auto" w:fill="D9E2F3"/>
          </w:tcPr>
          <w:p w14:paraId="4DEC756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序号</w:t>
            </w:r>
          </w:p>
        </w:tc>
        <w:tc>
          <w:tcPr>
            <w:tcW w:w="909" w:type="pct"/>
            <w:shd w:val="clear" w:color="auto" w:fill="D9E2F3"/>
          </w:tcPr>
          <w:p w14:paraId="036173E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规则类别</w:t>
            </w:r>
          </w:p>
        </w:tc>
        <w:tc>
          <w:tcPr>
            <w:tcW w:w="1599" w:type="pct"/>
            <w:shd w:val="clear" w:color="auto" w:fill="D9E2F3"/>
          </w:tcPr>
          <w:p w14:paraId="4CA7F2D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规则名称</w:t>
            </w:r>
          </w:p>
        </w:tc>
        <w:tc>
          <w:tcPr>
            <w:tcW w:w="2129" w:type="pct"/>
            <w:shd w:val="clear" w:color="auto" w:fill="D9E2F3"/>
          </w:tcPr>
          <w:p w14:paraId="621C8D2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</w:rPr>
              <w:t>具体规则内容/参数/阈值</w:t>
            </w:r>
          </w:p>
        </w:tc>
      </w:tr>
      <w:tr w14:paraId="00603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" w:type="pct"/>
          </w:tcPr>
          <w:p w14:paraId="0B6AA7F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</w:t>
            </w:r>
          </w:p>
        </w:tc>
        <w:tc>
          <w:tcPr>
            <w:tcW w:w="909" w:type="pct"/>
          </w:tcPr>
          <w:p w14:paraId="15BB605E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工艺参数</w:t>
            </w:r>
          </w:p>
        </w:tc>
        <w:tc>
          <w:tcPr>
            <w:tcW w:w="1599" w:type="pct"/>
          </w:tcPr>
          <w:p w14:paraId="506CA640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关键工艺参数控制范围</w:t>
            </w:r>
          </w:p>
        </w:tc>
        <w:tc>
          <w:tcPr>
            <w:tcW w:w="2129" w:type="pct"/>
          </w:tcPr>
          <w:p w14:paraId="7332D69D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副车架螺栓扭矩：120±5Nm，转角：90°±5°；转向节螺栓：85±3Nm</w:t>
            </w:r>
          </w:p>
        </w:tc>
      </w:tr>
      <w:tr w14:paraId="60769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" w:type="pct"/>
          </w:tcPr>
          <w:p w14:paraId="0747729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2</w:t>
            </w:r>
          </w:p>
        </w:tc>
        <w:tc>
          <w:tcPr>
            <w:tcW w:w="909" w:type="pct"/>
          </w:tcPr>
          <w:p w14:paraId="5B044EB8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工艺参数</w:t>
            </w:r>
          </w:p>
        </w:tc>
        <w:tc>
          <w:tcPr>
            <w:tcW w:w="1599" w:type="pct"/>
          </w:tcPr>
          <w:p w14:paraId="4F4CC9B7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工艺节拍要求</w:t>
            </w:r>
          </w:p>
        </w:tc>
        <w:tc>
          <w:tcPr>
            <w:tcW w:w="2129" w:type="pct"/>
          </w:tcPr>
          <w:p w14:paraId="4FE35D14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单工位拧紧节拍≤60秒/车</w:t>
            </w:r>
          </w:p>
        </w:tc>
      </w:tr>
      <w:tr w14:paraId="1207E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" w:type="pct"/>
          </w:tcPr>
          <w:p w14:paraId="4144425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3</w:t>
            </w:r>
          </w:p>
        </w:tc>
        <w:tc>
          <w:tcPr>
            <w:tcW w:w="909" w:type="pct"/>
          </w:tcPr>
          <w:p w14:paraId="72B20441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操作规范</w:t>
            </w:r>
          </w:p>
        </w:tc>
        <w:tc>
          <w:tcPr>
            <w:tcW w:w="1599" w:type="pct"/>
          </w:tcPr>
          <w:p w14:paraId="325A2D19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标准作业程序(SOP)</w:t>
            </w:r>
          </w:p>
        </w:tc>
        <w:tc>
          <w:tcPr>
            <w:tcW w:w="2129" w:type="pct"/>
          </w:tcPr>
          <w:p w14:paraId="4880D8BF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已编制《关键螺栓智能拧紧SOP》，操作工上岗前培训考核合格</w:t>
            </w:r>
          </w:p>
        </w:tc>
      </w:tr>
      <w:tr w14:paraId="395A3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" w:type="pct"/>
          </w:tcPr>
          <w:p w14:paraId="5456BFE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4</w:t>
            </w:r>
          </w:p>
        </w:tc>
        <w:tc>
          <w:tcPr>
            <w:tcW w:w="909" w:type="pct"/>
          </w:tcPr>
          <w:p w14:paraId="1F0D1115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安全要求</w:t>
            </w:r>
          </w:p>
        </w:tc>
        <w:tc>
          <w:tcPr>
            <w:tcW w:w="1599" w:type="pct"/>
          </w:tcPr>
          <w:p w14:paraId="53551863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设备安全联锁规则</w:t>
            </w:r>
          </w:p>
        </w:tc>
        <w:tc>
          <w:tcPr>
            <w:tcW w:w="2129" w:type="pct"/>
          </w:tcPr>
          <w:p w14:paraId="02956BEE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扭矩枪在扭矩不合格时自动锁枪，需班组长权限解锁</w:t>
            </w:r>
          </w:p>
        </w:tc>
      </w:tr>
      <w:tr w14:paraId="4CC10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" w:type="pct"/>
          </w:tcPr>
          <w:p w14:paraId="5498E39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5</w:t>
            </w:r>
          </w:p>
        </w:tc>
        <w:tc>
          <w:tcPr>
            <w:tcW w:w="909" w:type="pct"/>
          </w:tcPr>
          <w:p w14:paraId="086084C8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质量阈值</w:t>
            </w:r>
          </w:p>
        </w:tc>
        <w:tc>
          <w:tcPr>
            <w:tcW w:w="1599" w:type="pct"/>
          </w:tcPr>
          <w:p w14:paraId="79D2AD77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关键质量特性控制限</w:t>
            </w:r>
          </w:p>
        </w:tc>
        <w:tc>
          <w:tcPr>
            <w:tcW w:w="2129" w:type="pct"/>
          </w:tcPr>
          <w:p w14:paraId="2255B301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扭矩合格率≥99.5%；单班拧紧异常≤2起</w:t>
            </w:r>
          </w:p>
        </w:tc>
      </w:tr>
      <w:tr w14:paraId="0B880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" w:type="pct"/>
          </w:tcPr>
          <w:p w14:paraId="237AB05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6</w:t>
            </w:r>
          </w:p>
        </w:tc>
        <w:tc>
          <w:tcPr>
            <w:tcW w:w="909" w:type="pct"/>
          </w:tcPr>
          <w:p w14:paraId="34CC7823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质量阈值</w:t>
            </w:r>
          </w:p>
        </w:tc>
        <w:tc>
          <w:tcPr>
            <w:tcW w:w="1599" w:type="pct"/>
          </w:tcPr>
          <w:p w14:paraId="2329B1D4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不合格品判定/处置规则</w:t>
            </w:r>
          </w:p>
        </w:tc>
        <w:tc>
          <w:tcPr>
            <w:tcW w:w="2129" w:type="pct"/>
          </w:tcPr>
          <w:p w14:paraId="1197E710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扭矩不合格车辆标记“待处理”，禁止下线，复检合格后方可流转</w:t>
            </w:r>
          </w:p>
        </w:tc>
      </w:tr>
      <w:tr w14:paraId="1AE1F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" w:type="pct"/>
          </w:tcPr>
          <w:p w14:paraId="7D07F1D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7</w:t>
            </w:r>
          </w:p>
        </w:tc>
        <w:tc>
          <w:tcPr>
            <w:tcW w:w="909" w:type="pct"/>
          </w:tcPr>
          <w:p w14:paraId="34D4E1E7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质量阈值</w:t>
            </w:r>
          </w:p>
        </w:tc>
        <w:tc>
          <w:tcPr>
            <w:tcW w:w="1599" w:type="pct"/>
          </w:tcPr>
          <w:p w14:paraId="65EB21E0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质量追溯要求</w:t>
            </w:r>
          </w:p>
        </w:tc>
        <w:tc>
          <w:tcPr>
            <w:tcW w:w="2129" w:type="pct"/>
          </w:tcPr>
          <w:p w14:paraId="087F68BE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拧紧数据保存≥15年，支持VIN码反查</w:t>
            </w:r>
          </w:p>
        </w:tc>
      </w:tr>
      <w:tr w14:paraId="5B152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0" w:type="pct"/>
          </w:tcPr>
          <w:p w14:paraId="69C3E04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8</w:t>
            </w:r>
          </w:p>
        </w:tc>
        <w:tc>
          <w:tcPr>
            <w:tcW w:w="909" w:type="pct"/>
          </w:tcPr>
          <w:p w14:paraId="1A806E19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权限管理</w:t>
            </w:r>
          </w:p>
        </w:tc>
        <w:tc>
          <w:tcPr>
            <w:tcW w:w="1599" w:type="pct"/>
          </w:tcPr>
          <w:p w14:paraId="4C0C682F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系统操作权限分级规则</w:t>
            </w:r>
          </w:p>
        </w:tc>
        <w:tc>
          <w:tcPr>
            <w:tcW w:w="2129" w:type="pct"/>
          </w:tcPr>
          <w:p w14:paraId="1305A845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操作工：仅作业；班组长：异常解锁；工程师：参数配置</w:t>
            </w:r>
          </w:p>
        </w:tc>
      </w:tr>
    </w:tbl>
    <w:p w14:paraId="557A6D61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4.3 数据交互规范</w:t>
      </w:r>
    </w:p>
    <w:p w14:paraId="54C2FF99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该实践涉及的数据采集点位、数据格式、传输协议、更新频率、存储规则、数据共享范围。</w:t>
      </w:r>
      <w:r>
        <w:rPr>
          <w:b/>
          <w:color w:val="C00000"/>
          <w:sz w:val="21"/>
        </w:rPr>
        <w:t>【必填】</w:t>
      </w:r>
    </w:p>
    <w:tbl>
      <w:tblPr>
        <w:tblStyle w:val="7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1505"/>
        <w:gridCol w:w="2540"/>
        <w:gridCol w:w="1762"/>
        <w:gridCol w:w="2387"/>
      </w:tblGrid>
      <w:tr w14:paraId="5EE12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1" w:type="pct"/>
            <w:shd w:val="clear" w:color="auto" w:fill="D9E2F3"/>
          </w:tcPr>
          <w:p w14:paraId="57D476D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序号</w:t>
            </w:r>
          </w:p>
        </w:tc>
        <w:tc>
          <w:tcPr>
            <w:tcW w:w="850" w:type="pct"/>
            <w:shd w:val="clear" w:color="auto" w:fill="D9E2F3"/>
          </w:tcPr>
          <w:p w14:paraId="0CE0AD7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数据类别</w:t>
            </w:r>
          </w:p>
        </w:tc>
        <w:tc>
          <w:tcPr>
            <w:tcW w:w="1434" w:type="pct"/>
            <w:shd w:val="clear" w:color="auto" w:fill="D9E2F3"/>
          </w:tcPr>
          <w:p w14:paraId="226A818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数据项名称</w:t>
            </w:r>
          </w:p>
        </w:tc>
        <w:tc>
          <w:tcPr>
            <w:tcW w:w="995" w:type="pct"/>
            <w:shd w:val="clear" w:color="auto" w:fill="D9E2F3"/>
          </w:tcPr>
          <w:p w14:paraId="6AF7B15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数据格式/协议</w:t>
            </w:r>
          </w:p>
        </w:tc>
        <w:tc>
          <w:tcPr>
            <w:tcW w:w="1348" w:type="pct"/>
            <w:shd w:val="clear" w:color="auto" w:fill="D9E2F3"/>
          </w:tcPr>
          <w:p w14:paraId="3B5C4C2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更新频率/存储要求</w:t>
            </w:r>
          </w:p>
        </w:tc>
      </w:tr>
      <w:tr w14:paraId="6B92C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1" w:type="pct"/>
          </w:tcPr>
          <w:p w14:paraId="7F9CA64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</w:t>
            </w:r>
          </w:p>
        </w:tc>
        <w:tc>
          <w:tcPr>
            <w:tcW w:w="850" w:type="pct"/>
          </w:tcPr>
          <w:p w14:paraId="37A4C764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设备数据</w:t>
            </w:r>
          </w:p>
        </w:tc>
        <w:tc>
          <w:tcPr>
            <w:tcW w:w="1434" w:type="pct"/>
          </w:tcPr>
          <w:p w14:paraId="47822510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设备运行状态/参数</w:t>
            </w:r>
          </w:p>
        </w:tc>
        <w:tc>
          <w:tcPr>
            <w:tcW w:w="995" w:type="pct"/>
          </w:tcPr>
          <w:p w14:paraId="66D4B991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JSON/MQTT</w:t>
            </w:r>
          </w:p>
        </w:tc>
        <w:tc>
          <w:tcPr>
            <w:tcW w:w="1348" w:type="pct"/>
          </w:tcPr>
          <w:p w14:paraId="09DFD8F4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实时上传，保存≥15年</w:t>
            </w:r>
          </w:p>
        </w:tc>
      </w:tr>
      <w:tr w14:paraId="0F05B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1" w:type="pct"/>
          </w:tcPr>
          <w:p w14:paraId="78756EF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2</w:t>
            </w:r>
          </w:p>
        </w:tc>
        <w:tc>
          <w:tcPr>
            <w:tcW w:w="850" w:type="pct"/>
          </w:tcPr>
          <w:p w14:paraId="4C2FD506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设备数据</w:t>
            </w:r>
          </w:p>
        </w:tc>
        <w:tc>
          <w:tcPr>
            <w:tcW w:w="1434" w:type="pct"/>
          </w:tcPr>
          <w:p w14:paraId="620C1D6C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设备故障/报警信息</w:t>
            </w:r>
          </w:p>
        </w:tc>
        <w:tc>
          <w:tcPr>
            <w:tcW w:w="995" w:type="pct"/>
          </w:tcPr>
          <w:p w14:paraId="05D194B3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JSON/MQTT</w:t>
            </w:r>
          </w:p>
        </w:tc>
        <w:tc>
          <w:tcPr>
            <w:tcW w:w="1348" w:type="pct"/>
          </w:tcPr>
          <w:p w14:paraId="5442500C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实时上传，保存≥5年</w:t>
            </w:r>
          </w:p>
        </w:tc>
      </w:tr>
      <w:tr w14:paraId="54661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1" w:type="pct"/>
          </w:tcPr>
          <w:p w14:paraId="6A7BE51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3</w:t>
            </w:r>
          </w:p>
        </w:tc>
        <w:tc>
          <w:tcPr>
            <w:tcW w:w="850" w:type="pct"/>
          </w:tcPr>
          <w:p w14:paraId="2E0FA720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生产数据</w:t>
            </w:r>
          </w:p>
        </w:tc>
        <w:tc>
          <w:tcPr>
            <w:tcW w:w="1434" w:type="pct"/>
          </w:tcPr>
          <w:p w14:paraId="298B4A52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工单/计划信息</w:t>
            </w:r>
          </w:p>
        </w:tc>
        <w:tc>
          <w:tcPr>
            <w:tcW w:w="995" w:type="pct"/>
          </w:tcPr>
          <w:p w14:paraId="5FAF0181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REST API</w:t>
            </w:r>
          </w:p>
        </w:tc>
        <w:tc>
          <w:tcPr>
            <w:tcW w:w="1348" w:type="pct"/>
          </w:tcPr>
          <w:p w14:paraId="57D9AA46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工单开始时下发</w:t>
            </w:r>
          </w:p>
        </w:tc>
      </w:tr>
      <w:tr w14:paraId="7FE0C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1" w:type="pct"/>
          </w:tcPr>
          <w:p w14:paraId="6B4BE49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4</w:t>
            </w:r>
          </w:p>
        </w:tc>
        <w:tc>
          <w:tcPr>
            <w:tcW w:w="850" w:type="pct"/>
          </w:tcPr>
          <w:p w14:paraId="598D68D8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生产数据</w:t>
            </w:r>
          </w:p>
        </w:tc>
        <w:tc>
          <w:tcPr>
            <w:tcW w:w="1434" w:type="pct"/>
          </w:tcPr>
          <w:p w14:paraId="20FC0734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产量/节拍信息</w:t>
            </w:r>
          </w:p>
        </w:tc>
        <w:tc>
          <w:tcPr>
            <w:tcW w:w="995" w:type="pct"/>
          </w:tcPr>
          <w:p w14:paraId="7FAD1C78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JSON</w:t>
            </w:r>
          </w:p>
        </w:tc>
        <w:tc>
          <w:tcPr>
            <w:tcW w:w="1348" w:type="pct"/>
          </w:tcPr>
          <w:p w14:paraId="2F2A2BD8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每车更新，保存≥5年</w:t>
            </w:r>
          </w:p>
        </w:tc>
      </w:tr>
      <w:tr w14:paraId="205CF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1" w:type="pct"/>
          </w:tcPr>
          <w:p w14:paraId="6D609E0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5</w:t>
            </w:r>
          </w:p>
        </w:tc>
        <w:tc>
          <w:tcPr>
            <w:tcW w:w="850" w:type="pct"/>
          </w:tcPr>
          <w:p w14:paraId="2E9AB76D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质量数据</w:t>
            </w:r>
          </w:p>
        </w:tc>
        <w:tc>
          <w:tcPr>
            <w:tcW w:w="1434" w:type="pct"/>
          </w:tcPr>
          <w:p w14:paraId="007B9E74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拧紧检测结果</w:t>
            </w:r>
          </w:p>
        </w:tc>
        <w:tc>
          <w:tcPr>
            <w:tcW w:w="995" w:type="pct"/>
          </w:tcPr>
          <w:p w14:paraId="217A710E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JSON/MQTT</w:t>
            </w:r>
          </w:p>
        </w:tc>
        <w:tc>
          <w:tcPr>
            <w:tcW w:w="1348" w:type="pct"/>
          </w:tcPr>
          <w:p w14:paraId="714FE04E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每颗螺栓实时上传，保存≥15年</w:t>
            </w:r>
          </w:p>
        </w:tc>
      </w:tr>
      <w:tr w14:paraId="7647B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1" w:type="pct"/>
          </w:tcPr>
          <w:p w14:paraId="2A10254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6</w:t>
            </w:r>
          </w:p>
        </w:tc>
        <w:tc>
          <w:tcPr>
            <w:tcW w:w="850" w:type="pct"/>
          </w:tcPr>
          <w:p w14:paraId="48731BD0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人员数据</w:t>
            </w:r>
          </w:p>
        </w:tc>
        <w:tc>
          <w:tcPr>
            <w:tcW w:w="1434" w:type="pct"/>
          </w:tcPr>
          <w:p w14:paraId="02FEE08B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人员/资质信息</w:t>
            </w:r>
          </w:p>
        </w:tc>
        <w:tc>
          <w:tcPr>
            <w:tcW w:w="995" w:type="pct"/>
          </w:tcPr>
          <w:p w14:paraId="06F8F025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数据库关联</w:t>
            </w:r>
          </w:p>
        </w:tc>
        <w:tc>
          <w:tcPr>
            <w:tcW w:w="1348" w:type="pct"/>
          </w:tcPr>
          <w:p w14:paraId="17215F0A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班次更新</w:t>
            </w:r>
          </w:p>
        </w:tc>
      </w:tr>
    </w:tbl>
    <w:p w14:paraId="376F8DE3">
      <w:pPr>
        <w:spacing w:line="440" w:lineRule="exact"/>
        <w:ind w:firstLine="480"/>
        <w:rPr>
          <w:sz w:val="24"/>
        </w:rPr>
      </w:pPr>
      <w:r>
        <w:rPr>
          <w:rFonts w:hint="eastAsia" w:eastAsiaTheme="minorEastAsia"/>
          <w:sz w:val="24"/>
        </w:rPr>
        <w:t>数据共享范围与保密要求：拧紧数据在企业内部质量、生产、售后部门共享，涉及供应商数据按保密协议执行。</w:t>
      </w:r>
      <w:r>
        <w:rPr>
          <w:b/>
          <w:sz w:val="21"/>
        </w:rPr>
        <w:t>【</w:t>
      </w:r>
      <w:r>
        <w:rPr>
          <w:rFonts w:hint="eastAsia"/>
          <w:b/>
          <w:sz w:val="21"/>
        </w:rPr>
        <w:t>选</w:t>
      </w:r>
      <w:r>
        <w:rPr>
          <w:b/>
          <w:sz w:val="21"/>
        </w:rPr>
        <w:t>填】</w:t>
      </w:r>
    </w:p>
    <w:p w14:paraId="4DA31E7F">
      <w:pPr>
        <w:keepNext/>
        <w:keepLines/>
        <w:spacing w:before="60" w:after="60" w:line="240" w:lineRule="auto"/>
        <w:ind w:firstLine="562"/>
        <w:outlineLvl w:val="0"/>
        <w:rPr>
          <w:rFonts w:eastAsia="黑体"/>
          <w:b/>
          <w:kern w:val="44"/>
          <w:sz w:val="28"/>
        </w:rPr>
      </w:pPr>
      <w:r>
        <w:rPr>
          <w:rFonts w:hint="eastAsia" w:eastAsia="黑体"/>
          <w:b/>
          <w:kern w:val="44"/>
          <w:sz w:val="28"/>
        </w:rPr>
        <w:t>第五部分 量化指标与综合价值</w:t>
      </w:r>
    </w:p>
    <w:p w14:paraId="05D5D099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5.1 多维绩效指标体系</w:t>
      </w:r>
      <w:r>
        <w:rPr>
          <w:b/>
          <w:color w:val="C00000"/>
          <w:sz w:val="21"/>
        </w:rPr>
        <w:t>【必填】</w:t>
      </w:r>
    </w:p>
    <w:p w14:paraId="76B0249E">
      <w:pPr>
        <w:spacing w:after="156" w:afterLines="50"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填写实施前后对比数据，各指标须注明指标计算公式。指标定义和计算方法可以参考GB/T 47695-2026《企业智能制造效能评测方法》，也可使用工厂特色指标。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2149"/>
        <w:gridCol w:w="1285"/>
        <w:gridCol w:w="942"/>
        <w:gridCol w:w="1118"/>
        <w:gridCol w:w="2252"/>
      </w:tblGrid>
      <w:tr w14:paraId="3E765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shd w:val="clear" w:color="auto" w:fill="D9E2F3"/>
          </w:tcPr>
          <w:p w14:paraId="5E79B39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指标分类</w:t>
            </w:r>
          </w:p>
        </w:tc>
        <w:tc>
          <w:tcPr>
            <w:tcW w:w="2149" w:type="dxa"/>
            <w:shd w:val="clear" w:color="auto" w:fill="D9E2F3"/>
          </w:tcPr>
          <w:p w14:paraId="7DEB7AC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指标名称</w:t>
            </w:r>
          </w:p>
        </w:tc>
        <w:tc>
          <w:tcPr>
            <w:tcW w:w="1285" w:type="dxa"/>
            <w:shd w:val="clear" w:color="auto" w:fill="D9E2F3"/>
          </w:tcPr>
          <w:p w14:paraId="4DD2E73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实施前</w:t>
            </w:r>
          </w:p>
        </w:tc>
        <w:tc>
          <w:tcPr>
            <w:tcW w:w="942" w:type="dxa"/>
            <w:shd w:val="clear" w:color="auto" w:fill="D9E2F3"/>
          </w:tcPr>
          <w:p w14:paraId="2EFDBDD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实施后</w:t>
            </w:r>
          </w:p>
        </w:tc>
        <w:tc>
          <w:tcPr>
            <w:tcW w:w="1118" w:type="dxa"/>
            <w:shd w:val="clear" w:color="auto" w:fill="D9E2F3"/>
          </w:tcPr>
          <w:p w14:paraId="5768C12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优化幅度</w:t>
            </w:r>
          </w:p>
        </w:tc>
        <w:tc>
          <w:tcPr>
            <w:tcW w:w="2252" w:type="dxa"/>
            <w:shd w:val="clear" w:color="auto" w:fill="D9E2F3"/>
          </w:tcPr>
          <w:p w14:paraId="68C73CD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</w:rPr>
              <w:t>计算公式</w:t>
            </w:r>
          </w:p>
        </w:tc>
      </w:tr>
      <w:tr w14:paraId="4B6A9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5C79F328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质量类</w:t>
            </w:r>
          </w:p>
        </w:tc>
        <w:tc>
          <w:tcPr>
            <w:tcW w:w="2149" w:type="dxa"/>
          </w:tcPr>
          <w:p w14:paraId="4D721FE5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关键螺栓拧紧不良率</w:t>
            </w:r>
          </w:p>
        </w:tc>
        <w:tc>
          <w:tcPr>
            <w:tcW w:w="1285" w:type="dxa"/>
          </w:tcPr>
          <w:p w14:paraId="2E3E7048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0.8%</w:t>
            </w:r>
          </w:p>
        </w:tc>
        <w:tc>
          <w:tcPr>
            <w:tcW w:w="942" w:type="dxa"/>
          </w:tcPr>
          <w:p w14:paraId="2C6636B3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0.05%</w:t>
            </w:r>
          </w:p>
        </w:tc>
        <w:tc>
          <w:tcPr>
            <w:tcW w:w="1118" w:type="dxa"/>
          </w:tcPr>
          <w:p w14:paraId="684D41DF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↓93.75%</w:t>
            </w:r>
          </w:p>
        </w:tc>
        <w:tc>
          <w:tcPr>
            <w:tcW w:w="2252" w:type="dxa"/>
          </w:tcPr>
          <w:p w14:paraId="76E507D6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拧紧不合格数÷总拧紧数×100%</w:t>
            </w:r>
          </w:p>
        </w:tc>
      </w:tr>
      <w:tr w14:paraId="54F36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536189AE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质量类</w:t>
            </w:r>
          </w:p>
        </w:tc>
        <w:tc>
          <w:tcPr>
            <w:tcW w:w="2149" w:type="dxa"/>
          </w:tcPr>
          <w:p w14:paraId="5FEBAB88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一次合格率(FTQ)</w:t>
            </w:r>
          </w:p>
        </w:tc>
        <w:tc>
          <w:tcPr>
            <w:tcW w:w="1285" w:type="dxa"/>
          </w:tcPr>
          <w:p w14:paraId="6F2059A5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97.2%</w:t>
            </w:r>
          </w:p>
        </w:tc>
        <w:tc>
          <w:tcPr>
            <w:tcW w:w="942" w:type="dxa"/>
          </w:tcPr>
          <w:p w14:paraId="471BF598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99.8%</w:t>
            </w:r>
          </w:p>
        </w:tc>
        <w:tc>
          <w:tcPr>
            <w:tcW w:w="1118" w:type="dxa"/>
          </w:tcPr>
          <w:p w14:paraId="16A99C5E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↑2.6pp</w:t>
            </w:r>
          </w:p>
        </w:tc>
        <w:tc>
          <w:tcPr>
            <w:tcW w:w="2252" w:type="dxa"/>
          </w:tcPr>
          <w:p w14:paraId="03E074F4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一次合格车辆数÷总车辆数×100%</w:t>
            </w:r>
          </w:p>
        </w:tc>
      </w:tr>
      <w:tr w14:paraId="2ACFA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19CE4E7C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质量类</w:t>
            </w:r>
          </w:p>
        </w:tc>
        <w:tc>
          <w:tcPr>
            <w:tcW w:w="2149" w:type="dxa"/>
          </w:tcPr>
          <w:p w14:paraId="1AA5B5E7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缺陷检出率</w:t>
            </w:r>
          </w:p>
        </w:tc>
        <w:tc>
          <w:tcPr>
            <w:tcW w:w="1285" w:type="dxa"/>
          </w:tcPr>
          <w:p w14:paraId="62402400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85%</w:t>
            </w:r>
          </w:p>
        </w:tc>
        <w:tc>
          <w:tcPr>
            <w:tcW w:w="942" w:type="dxa"/>
          </w:tcPr>
          <w:p w14:paraId="51B1FFF9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100%</w:t>
            </w:r>
          </w:p>
        </w:tc>
        <w:tc>
          <w:tcPr>
            <w:tcW w:w="1118" w:type="dxa"/>
          </w:tcPr>
          <w:p w14:paraId="34B5C37B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↑15pp</w:t>
            </w:r>
          </w:p>
        </w:tc>
        <w:tc>
          <w:tcPr>
            <w:tcW w:w="2252" w:type="dxa"/>
          </w:tcPr>
          <w:p w14:paraId="3C191F39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系统检出缺陷数÷实际缺陷数×100%</w:t>
            </w:r>
          </w:p>
        </w:tc>
      </w:tr>
      <w:tr w14:paraId="171FE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7BB49385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效率类</w:t>
            </w:r>
          </w:p>
        </w:tc>
        <w:tc>
          <w:tcPr>
            <w:tcW w:w="2149" w:type="dxa"/>
          </w:tcPr>
          <w:p w14:paraId="598C4868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单工位拧紧节拍</w:t>
            </w:r>
          </w:p>
        </w:tc>
        <w:tc>
          <w:tcPr>
            <w:tcW w:w="1285" w:type="dxa"/>
          </w:tcPr>
          <w:p w14:paraId="75C2979E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75秒/车</w:t>
            </w:r>
          </w:p>
        </w:tc>
        <w:tc>
          <w:tcPr>
            <w:tcW w:w="942" w:type="dxa"/>
          </w:tcPr>
          <w:p w14:paraId="453F806F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58秒/车</w:t>
            </w:r>
          </w:p>
        </w:tc>
        <w:tc>
          <w:tcPr>
            <w:tcW w:w="1118" w:type="dxa"/>
          </w:tcPr>
          <w:p w14:paraId="302EFBDD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↓22.7%</w:t>
            </w:r>
          </w:p>
        </w:tc>
        <w:tc>
          <w:tcPr>
            <w:tcW w:w="2252" w:type="dxa"/>
          </w:tcPr>
          <w:p w14:paraId="15812973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工位作业总时长÷车辆数</w:t>
            </w:r>
          </w:p>
        </w:tc>
      </w:tr>
      <w:tr w14:paraId="5AA73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3D85B79C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效率类</w:t>
            </w:r>
          </w:p>
        </w:tc>
        <w:tc>
          <w:tcPr>
            <w:tcW w:w="2149" w:type="dxa"/>
          </w:tcPr>
          <w:p w14:paraId="4DE1B583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异常响应时长</w:t>
            </w:r>
          </w:p>
        </w:tc>
        <w:tc>
          <w:tcPr>
            <w:tcW w:w="1285" w:type="dxa"/>
          </w:tcPr>
          <w:p w14:paraId="66FD3442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15分钟</w:t>
            </w:r>
          </w:p>
        </w:tc>
        <w:tc>
          <w:tcPr>
            <w:tcW w:w="942" w:type="dxa"/>
          </w:tcPr>
          <w:p w14:paraId="1ACAC7BB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3分钟</w:t>
            </w:r>
          </w:p>
        </w:tc>
        <w:tc>
          <w:tcPr>
            <w:tcW w:w="1118" w:type="dxa"/>
          </w:tcPr>
          <w:p w14:paraId="705D1F28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↓80%</w:t>
            </w:r>
          </w:p>
        </w:tc>
        <w:tc>
          <w:tcPr>
            <w:tcW w:w="2252" w:type="dxa"/>
          </w:tcPr>
          <w:p w14:paraId="3F8133A6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异常发生到处置完成平均时长</w:t>
            </w:r>
          </w:p>
        </w:tc>
      </w:tr>
      <w:tr w14:paraId="72FEA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5B6A11E8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成本类</w:t>
            </w:r>
          </w:p>
        </w:tc>
        <w:tc>
          <w:tcPr>
            <w:tcW w:w="2149" w:type="dxa"/>
          </w:tcPr>
          <w:p w14:paraId="0F3DE80C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质量返修成本</w:t>
            </w:r>
          </w:p>
        </w:tc>
        <w:tc>
          <w:tcPr>
            <w:tcW w:w="1285" w:type="dxa"/>
          </w:tcPr>
          <w:p w14:paraId="54FBC403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约8000元/月</w:t>
            </w:r>
          </w:p>
        </w:tc>
        <w:tc>
          <w:tcPr>
            <w:tcW w:w="942" w:type="dxa"/>
          </w:tcPr>
          <w:p w14:paraId="599B9502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约500元/月</w:t>
            </w:r>
          </w:p>
        </w:tc>
        <w:tc>
          <w:tcPr>
            <w:tcW w:w="1118" w:type="dxa"/>
          </w:tcPr>
          <w:p w14:paraId="40B05979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↓93.75%</w:t>
            </w:r>
          </w:p>
        </w:tc>
        <w:tc>
          <w:tcPr>
            <w:tcW w:w="2252" w:type="dxa"/>
          </w:tcPr>
          <w:p w14:paraId="48655870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月度返修工时费+材料费</w:t>
            </w:r>
          </w:p>
        </w:tc>
      </w:tr>
      <w:tr w14:paraId="3A448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2E49C9E5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成本类</w:t>
            </w:r>
          </w:p>
        </w:tc>
        <w:tc>
          <w:tcPr>
            <w:tcW w:w="2149" w:type="dxa"/>
          </w:tcPr>
          <w:p w14:paraId="5FD32457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追溯人工成本</w:t>
            </w:r>
          </w:p>
        </w:tc>
        <w:tc>
          <w:tcPr>
            <w:tcW w:w="1285" w:type="dxa"/>
          </w:tcPr>
          <w:p w14:paraId="422608C1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约2人/天</w:t>
            </w:r>
          </w:p>
        </w:tc>
        <w:tc>
          <w:tcPr>
            <w:tcW w:w="942" w:type="dxa"/>
          </w:tcPr>
          <w:p w14:paraId="482AA436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0（自动追溯）</w:t>
            </w:r>
          </w:p>
        </w:tc>
        <w:tc>
          <w:tcPr>
            <w:tcW w:w="1118" w:type="dxa"/>
          </w:tcPr>
          <w:p w14:paraId="26EA8C20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↓100%</w:t>
            </w:r>
          </w:p>
        </w:tc>
        <w:tc>
          <w:tcPr>
            <w:tcW w:w="2252" w:type="dxa"/>
          </w:tcPr>
          <w:p w14:paraId="0F0E7FAB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质量问题追溯所需人工</w:t>
            </w:r>
          </w:p>
        </w:tc>
      </w:tr>
      <w:tr w14:paraId="495C5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71FC20EE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管理类</w:t>
            </w:r>
          </w:p>
        </w:tc>
        <w:tc>
          <w:tcPr>
            <w:tcW w:w="2149" w:type="dxa"/>
          </w:tcPr>
          <w:p w14:paraId="7088360E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新员工上岗周期</w:t>
            </w:r>
          </w:p>
        </w:tc>
        <w:tc>
          <w:tcPr>
            <w:tcW w:w="1285" w:type="dxa"/>
          </w:tcPr>
          <w:p w14:paraId="348EB0FF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7天</w:t>
            </w:r>
          </w:p>
        </w:tc>
        <w:tc>
          <w:tcPr>
            <w:tcW w:w="942" w:type="dxa"/>
          </w:tcPr>
          <w:p w14:paraId="6128EE7E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3天</w:t>
            </w:r>
          </w:p>
        </w:tc>
        <w:tc>
          <w:tcPr>
            <w:tcW w:w="1118" w:type="dxa"/>
          </w:tcPr>
          <w:p w14:paraId="7A523907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↓57%</w:t>
            </w:r>
          </w:p>
        </w:tc>
        <w:tc>
          <w:tcPr>
            <w:tcW w:w="2252" w:type="dxa"/>
          </w:tcPr>
          <w:p w14:paraId="3F62B8E7">
            <w:pPr>
              <w:spacing w:line="240" w:lineRule="auto"/>
              <w:ind w:firstLine="0" w:firstLineChars="0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从培训到独立上岗天数</w:t>
            </w:r>
          </w:p>
        </w:tc>
      </w:tr>
    </w:tbl>
    <w:p w14:paraId="7777BF9C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5.2 综合价值总结</w:t>
      </w:r>
    </w:p>
    <w:p w14:paraId="47FEAE4B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实施后的业务价值、管理价值、产业链协同价值、行业推广和标准化价值，涉及具体指标的可量化描述。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4"/>
        <w:gridCol w:w="7202"/>
      </w:tblGrid>
      <w:tr w14:paraId="713A3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4" w:type="dxa"/>
            <w:vAlign w:val="center"/>
          </w:tcPr>
          <w:p w14:paraId="10715F5F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color w:val="C00000"/>
                <w:sz w:val="21"/>
                <w:szCs w:val="21"/>
              </w:rPr>
              <w:t>【必填】</w:t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t>业务价值</w:t>
            </w:r>
          </w:p>
        </w:tc>
        <w:tc>
          <w:tcPr>
            <w:tcW w:w="7202" w:type="dxa"/>
          </w:tcPr>
          <w:p w14:paraId="6864771B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（不超过150字）</w:t>
            </w:r>
            <w:r>
              <w:rPr>
                <w:rFonts w:hint="eastAsia" w:ascii="仿宋" w:hAnsi="仿宋" w:cs="仿宋"/>
                <w:color w:val="808080"/>
                <w:sz w:val="24"/>
              </w:rPr>
              <w:br w:type="textWrapping"/>
            </w:r>
            <w:r>
              <w:rPr>
                <w:rFonts w:hint="eastAsia" w:ascii="仿宋" w:hAnsi="仿宋" w:cs="仿宋"/>
                <w:sz w:val="24"/>
              </w:rPr>
              <w:t>关键螺栓拧紧不良率下降93.75%，单工位节拍提升22.7%，彻底杜绝因螺栓拧紧缺陷导致的安全质量问题，年减少质量损失约9万元。</w:t>
            </w:r>
          </w:p>
        </w:tc>
      </w:tr>
      <w:tr w14:paraId="47483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4" w:type="dxa"/>
            <w:vAlign w:val="center"/>
          </w:tcPr>
          <w:p w14:paraId="627B5E81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sz w:val="21"/>
                <w:szCs w:val="21"/>
              </w:rPr>
              <w:t>【选填】</w:t>
            </w:r>
            <w:r>
              <w:rPr>
                <w:rFonts w:hint="eastAsia" w:ascii="仿宋" w:hAnsi="仿宋" w:cs="仿宋"/>
                <w:b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sz w:val="24"/>
              </w:rPr>
              <w:t>管理价值</w:t>
            </w:r>
          </w:p>
        </w:tc>
        <w:tc>
          <w:tcPr>
            <w:tcW w:w="7202" w:type="dxa"/>
          </w:tcPr>
          <w:p w14:paraId="31E55DB2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（不超过150字）</w:t>
            </w:r>
            <w:r>
              <w:rPr>
                <w:rFonts w:hint="eastAsia" w:ascii="仿宋" w:hAnsi="仿宋" w:cs="仿宋"/>
                <w:i/>
                <w:color w:val="808080"/>
                <w:sz w:val="24"/>
              </w:rPr>
              <w:br w:type="textWrapping"/>
            </w:r>
            <w:r>
              <w:rPr>
                <w:rFonts w:hint="eastAsia" w:ascii="仿宋" w:hAnsi="仿宋" w:cs="仿宋"/>
                <w:sz w:val="24"/>
              </w:rPr>
              <w:t>实现拧紧过程全数字化、可追溯，质量问题追溯时间从小时级降至秒级，新员工培训周期缩短57%。</w:t>
            </w:r>
          </w:p>
        </w:tc>
      </w:tr>
      <w:tr w14:paraId="0D87D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4" w:type="dxa"/>
            <w:vAlign w:val="center"/>
          </w:tcPr>
          <w:p w14:paraId="39BA9515">
            <w:pPr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sz w:val="21"/>
                <w:szCs w:val="21"/>
              </w:rPr>
              <w:t>【选填】</w:t>
            </w:r>
            <w:r>
              <w:rPr>
                <w:rFonts w:hint="eastAsia" w:ascii="仿宋" w:hAnsi="仿宋" w:cs="仿宋"/>
                <w:b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sz w:val="24"/>
              </w:rPr>
              <w:t>产业链协同价值</w:t>
            </w:r>
          </w:p>
        </w:tc>
        <w:tc>
          <w:tcPr>
            <w:tcW w:w="7202" w:type="dxa"/>
          </w:tcPr>
          <w:p w14:paraId="45F61B73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（不超过150字）</w:t>
            </w:r>
            <w:r>
              <w:rPr>
                <w:rFonts w:hint="eastAsia" w:ascii="仿宋" w:hAnsi="仿宋" w:cs="仿宋"/>
                <w:i/>
                <w:color w:val="808080"/>
                <w:sz w:val="24"/>
              </w:rPr>
              <w:br w:type="textWrapping"/>
            </w:r>
            <w:r>
              <w:rPr>
                <w:rFonts w:hint="eastAsia" w:ascii="仿宋" w:hAnsi="仿宋" w:cs="仿宋"/>
                <w:sz w:val="24"/>
              </w:rPr>
              <w:t>拧紧数据可向供应链上下游延伸，为零部件供应商提供装配反馈，支撑整车-零部件协同质量提升。</w:t>
            </w:r>
          </w:p>
        </w:tc>
      </w:tr>
      <w:tr w14:paraId="143CB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4" w:type="dxa"/>
            <w:vAlign w:val="center"/>
          </w:tcPr>
          <w:p w14:paraId="2F26EC6B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color w:val="C00000"/>
                <w:sz w:val="21"/>
                <w:szCs w:val="21"/>
              </w:rPr>
              <w:t>【必填】</w:t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t>标准化价值</w:t>
            </w:r>
          </w:p>
        </w:tc>
        <w:tc>
          <w:tcPr>
            <w:tcW w:w="7202" w:type="dxa"/>
          </w:tcPr>
          <w:p w14:paraId="0348A05D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（不超过150字）</w:t>
            </w:r>
            <w:r>
              <w:rPr>
                <w:rFonts w:hint="eastAsia" w:ascii="仿宋" w:hAnsi="仿宋" w:cs="仿宋"/>
                <w:i/>
                <w:color w:val="808080"/>
                <w:sz w:val="24"/>
              </w:rPr>
              <w:br w:type="textWrapping"/>
            </w:r>
            <w:r>
              <w:rPr>
                <w:rFonts w:hint="eastAsia" w:ascii="仿宋" w:hAnsi="仿宋" w:cs="仿宋"/>
                <w:sz w:val="24"/>
              </w:rPr>
              <w:t>形成可复制的智能防错通用流程和数据规范，可转化为汽车总装关键工序防错行业标准，为全行业提供对标范本。</w:t>
            </w:r>
          </w:p>
        </w:tc>
      </w:tr>
    </w:tbl>
    <w:p w14:paraId="78DCA15E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5.3 落地风险与规避方案</w:t>
      </w:r>
    </w:p>
    <w:p w14:paraId="4327809E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梳理推广、落地、运维过程中的潜在风险，并对应给出解决措施。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7192"/>
      </w:tblGrid>
      <w:tr w14:paraId="7266C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4" w:type="dxa"/>
            <w:vAlign w:val="center"/>
          </w:tcPr>
          <w:p w14:paraId="5D7E15C6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sz w:val="21"/>
                <w:szCs w:val="21"/>
              </w:rPr>
              <w:t>【选填】</w:t>
            </w:r>
            <w:r>
              <w:rPr>
                <w:rFonts w:hint="eastAsia" w:ascii="仿宋" w:hAnsi="仿宋" w:cs="仿宋"/>
                <w:b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sz w:val="24"/>
              </w:rPr>
              <w:t>潜在风险及规避方案</w:t>
            </w:r>
          </w:p>
        </w:tc>
        <w:tc>
          <w:tcPr>
            <w:tcW w:w="7192" w:type="dxa"/>
          </w:tcPr>
          <w:p w14:paraId="491627BE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（不超过200字）</w:t>
            </w:r>
            <w:r>
              <w:rPr>
                <w:rFonts w:hint="eastAsia" w:ascii="仿宋" w:hAnsi="仿宋" w:cs="仿宋"/>
                <w:i/>
                <w:color w:val="808080"/>
                <w:sz w:val="24"/>
              </w:rPr>
              <w:br w:type="textWrapping"/>
            </w:r>
            <w:r>
              <w:rPr>
                <w:rFonts w:hint="eastAsia" w:ascii="仿宋" w:hAnsi="仿宋" w:cs="仿宋"/>
                <w:sz w:val="24"/>
              </w:rPr>
              <w:t>风险1：视觉识别受光照、油污影响。规避：选用工业级防护相机，定期维护清洁，设置冗余识别算法。</w:t>
            </w:r>
          </w:p>
          <w:p w14:paraId="71FF838E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风险2：网络中断影响生产。规避：配置本地缓存模式，网络恢复后自动补传，中断期间人工复检。</w:t>
            </w:r>
          </w:p>
        </w:tc>
      </w:tr>
    </w:tbl>
    <w:p w14:paraId="6D24F83B">
      <w:pPr>
        <w:keepNext/>
        <w:keepLines/>
        <w:spacing w:before="60" w:after="60" w:line="240" w:lineRule="auto"/>
        <w:ind w:firstLine="562"/>
        <w:outlineLvl w:val="0"/>
        <w:rPr>
          <w:rFonts w:eastAsia="黑体"/>
          <w:b/>
          <w:kern w:val="44"/>
          <w:sz w:val="28"/>
        </w:rPr>
      </w:pPr>
      <w:r>
        <w:rPr>
          <w:rFonts w:hint="eastAsia" w:eastAsia="黑体"/>
          <w:b/>
          <w:kern w:val="44"/>
          <w:sz w:val="28"/>
        </w:rPr>
        <w:t>第六部分 推广应用与标准转化设计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8"/>
        <w:gridCol w:w="6358"/>
      </w:tblGrid>
      <w:tr w14:paraId="23C58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vAlign w:val="center"/>
          </w:tcPr>
          <w:p w14:paraId="3E53E82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b/>
                <w:color w:val="C00000"/>
                <w:kern w:val="0"/>
                <w:sz w:val="21"/>
                <w:szCs w:val="21"/>
              </w:rPr>
              <w:t>【必填】</w:t>
            </w:r>
            <w:r>
              <w:rPr>
                <w:rFonts w:hint="eastAsia" w:ascii="仿宋" w:hAnsi="仿宋" w:cs="仿宋"/>
                <w:b/>
                <w:color w:val="C00000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color w:val="C00000"/>
                <w:kern w:val="0"/>
                <w:sz w:val="24"/>
              </w:rPr>
              <w:t>6.1推广适配性分析</w:t>
            </w:r>
          </w:p>
        </w:tc>
        <w:tc>
          <w:tcPr>
            <w:tcW w:w="6358" w:type="dxa"/>
          </w:tcPr>
          <w:p w14:paraId="33FD9EE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kern w:val="0"/>
                <w:sz w:val="24"/>
              </w:rPr>
              <w:t>（不超过200字）</w:t>
            </w:r>
            <w:r>
              <w:rPr>
                <w:rFonts w:hint="eastAsia" w:ascii="仿宋" w:hAnsi="仿宋" w:cs="仿宋"/>
                <w:i/>
                <w:color w:val="808080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cs="仿宋"/>
                <w:kern w:val="0"/>
                <w:sz w:val="24"/>
              </w:rPr>
              <w:t>本实践通用性强，适用于各类乘用车、商用车总装车间；中小零部件企业可参考其防错逻辑应用于分装线；改造成本较低，投资回收期约6-12个月。</w:t>
            </w:r>
          </w:p>
        </w:tc>
      </w:tr>
      <w:tr w14:paraId="37853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vAlign w:val="center"/>
          </w:tcPr>
          <w:p w14:paraId="6CD8576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</w:rPr>
              <w:t>【选填】</w:t>
            </w:r>
            <w:r>
              <w:rPr>
                <w:rFonts w:hint="eastAsia" w:ascii="仿宋" w:hAnsi="仿宋" w:cs="仿宋"/>
                <w:b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kern w:val="0"/>
                <w:sz w:val="24"/>
              </w:rPr>
              <w:t>6.2落地实施建议</w:t>
            </w:r>
          </w:p>
        </w:tc>
        <w:tc>
          <w:tcPr>
            <w:tcW w:w="6358" w:type="dxa"/>
          </w:tcPr>
          <w:p w14:paraId="429DB71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kern w:val="0"/>
                <w:sz w:val="24"/>
              </w:rPr>
              <w:t>（不超过200字）</w:t>
            </w:r>
            <w:r>
              <w:rPr>
                <w:rFonts w:hint="eastAsia" w:ascii="仿宋" w:hAnsi="仿宋" w:cs="仿宋"/>
                <w:i/>
                <w:color w:val="808080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cs="仿宋"/>
                <w:kern w:val="0"/>
                <w:sz w:val="24"/>
              </w:rPr>
              <w:t>实施周期：单工位2-3周（含设备安装、系统调试、员工培训）；人员配置：工艺工程师1名+IT工程师1名；建议先在1-2个关键工位试点，验证后逐步推广至全车间。</w:t>
            </w:r>
          </w:p>
        </w:tc>
      </w:tr>
      <w:tr w14:paraId="4676E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vAlign w:val="center"/>
          </w:tcPr>
          <w:p w14:paraId="0CB412A1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b/>
                <w:color w:val="C00000"/>
                <w:kern w:val="0"/>
                <w:sz w:val="24"/>
              </w:rPr>
            </w:pPr>
            <w:r>
              <w:rPr>
                <w:rFonts w:hint="eastAsia" w:ascii="仿宋" w:hAnsi="仿宋" w:cs="仿宋"/>
                <w:b/>
                <w:color w:val="C00000"/>
                <w:kern w:val="0"/>
                <w:sz w:val="21"/>
                <w:szCs w:val="21"/>
              </w:rPr>
              <w:t>【必填】</w:t>
            </w:r>
            <w:r>
              <w:rPr>
                <w:rFonts w:hint="eastAsia" w:ascii="仿宋" w:hAnsi="仿宋" w:cs="仿宋"/>
                <w:b/>
                <w:color w:val="C00000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color w:val="C00000"/>
                <w:kern w:val="0"/>
                <w:sz w:val="24"/>
              </w:rPr>
              <w:t>6.3拟转化标准类型（可多选）</w:t>
            </w:r>
          </w:p>
        </w:tc>
        <w:tc>
          <w:tcPr>
            <w:tcW w:w="6358" w:type="dxa"/>
          </w:tcPr>
          <w:p w14:paraId="733B569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□ 基础共性标准（术语、数据格式、通用接口等）</w:t>
            </w:r>
            <w:r>
              <w:rPr>
                <w:rFonts w:hint="eastAsia" w:ascii="仿宋" w:hAnsi="仿宋" w:cs="仿宋"/>
                <w:sz w:val="24"/>
              </w:rPr>
              <w:br w:type="textWrapping"/>
            </w:r>
            <w:r>
              <w:rPr>
                <w:rFonts w:hint="eastAsia" w:ascii="仿宋" w:hAnsi="仿宋" w:cs="仿宋"/>
                <w:sz w:val="24"/>
              </w:rPr>
              <w:t>☑ 关键技术标准（特定技术应用规范、性能要求）</w:t>
            </w:r>
            <w:r>
              <w:rPr>
                <w:rFonts w:hint="eastAsia" w:ascii="仿宋" w:hAnsi="仿宋" w:cs="仿宋"/>
                <w:sz w:val="24"/>
              </w:rPr>
              <w:br w:type="textWrapping"/>
            </w:r>
            <w:r>
              <w:rPr>
                <w:rFonts w:hint="eastAsia" w:ascii="仿宋" w:hAnsi="仿宋" w:cs="仿宋"/>
                <w:sz w:val="24"/>
              </w:rPr>
              <w:t>☑ 汽车行业应用标准（特定场景作业流程、管理规范）</w:t>
            </w:r>
            <w:r>
              <w:rPr>
                <w:rFonts w:hint="eastAsia" w:ascii="仿宋" w:hAnsi="仿宋" w:cs="仿宋"/>
                <w:sz w:val="24"/>
              </w:rPr>
              <w:br w:type="textWrapping"/>
            </w:r>
            <w:r>
              <w:rPr>
                <w:rFonts w:hint="eastAsia" w:ascii="仿宋" w:hAnsi="仿宋" w:cs="仿宋"/>
                <w:sz w:val="24"/>
              </w:rPr>
              <w:t>□ 管理标准（质量、安全、能效管理体系要求）</w:t>
            </w:r>
            <w:r>
              <w:rPr>
                <w:rFonts w:hint="eastAsia" w:ascii="仿宋" w:hAnsi="仿宋" w:cs="仿宋"/>
                <w:sz w:val="24"/>
              </w:rPr>
              <w:br w:type="textWrapping"/>
            </w:r>
            <w:r>
              <w:rPr>
                <w:rFonts w:hint="eastAsia" w:ascii="仿宋" w:hAnsi="仿宋" w:cs="仿宋"/>
                <w:sz w:val="24"/>
              </w:rPr>
              <w:t>□ 其他（请说明）</w:t>
            </w:r>
          </w:p>
        </w:tc>
      </w:tr>
      <w:tr w14:paraId="6E4DE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vAlign w:val="center"/>
          </w:tcPr>
          <w:p w14:paraId="5B25258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b/>
                <w:color w:val="C00000"/>
                <w:kern w:val="0"/>
                <w:sz w:val="24"/>
              </w:rPr>
            </w:pPr>
            <w:r>
              <w:rPr>
                <w:rFonts w:hint="eastAsia" w:ascii="仿宋" w:hAnsi="仿宋" w:cs="仿宋"/>
                <w:b/>
                <w:color w:val="C00000"/>
                <w:kern w:val="0"/>
                <w:sz w:val="21"/>
                <w:szCs w:val="21"/>
              </w:rPr>
              <w:t>【必填】</w:t>
            </w:r>
            <w:r>
              <w:rPr>
                <w:rFonts w:hint="eastAsia" w:ascii="仿宋" w:hAnsi="仿宋" w:cs="仿宋"/>
                <w:b/>
                <w:color w:val="C00000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color w:val="C00000"/>
                <w:kern w:val="0"/>
                <w:sz w:val="24"/>
              </w:rPr>
              <w:t>6.4拟提炼标准条目清单</w:t>
            </w:r>
          </w:p>
        </w:tc>
        <w:tc>
          <w:tcPr>
            <w:tcW w:w="6358" w:type="dxa"/>
          </w:tcPr>
          <w:p w14:paraId="3B1D558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i/>
                <w:color w:val="808080"/>
                <w:kern w:val="0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kern w:val="0"/>
                <w:sz w:val="24"/>
              </w:rPr>
              <w:t>（不超过300字）</w:t>
            </w:r>
          </w:p>
          <w:p w14:paraId="6F67F43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kern w:val="0"/>
                <w:sz w:val="24"/>
              </w:rPr>
              <w:t>1.《汽车总装关键螺栓智能防错系统通用技术要求》：规定系统组成、功能要求、性能指标、接口规范；</w:t>
            </w:r>
          </w:p>
          <w:p w14:paraId="020FB9D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kern w:val="0"/>
                <w:sz w:val="24"/>
              </w:rPr>
              <w:t>2.《汽车总装关键工序防错作业规范》：规定防错流程、异常处置、数据追溯要求；</w:t>
            </w:r>
          </w:p>
          <w:p w14:paraId="3059563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color w:val="808080"/>
                <w:kern w:val="0"/>
                <w:sz w:val="24"/>
              </w:rPr>
            </w:pPr>
            <w:r>
              <w:rPr>
                <w:rFonts w:hint="eastAsia" w:ascii="仿宋" w:hAnsi="仿宋" w:cs="仿宋"/>
                <w:kern w:val="0"/>
                <w:sz w:val="24"/>
              </w:rPr>
              <w:t>3.《汽车制造拧紧数据交互规范》：规定数据格式、传输协议、存储要求。</w:t>
            </w:r>
          </w:p>
        </w:tc>
      </w:tr>
    </w:tbl>
    <w:p w14:paraId="3DF86395">
      <w:pPr>
        <w:spacing w:line="440" w:lineRule="exact"/>
        <w:ind w:firstLine="0" w:firstLineChars="0"/>
        <w:rPr>
          <w:rFonts w:eastAsiaTheme="minorEastAsia"/>
          <w:b/>
          <w:bCs/>
          <w:color w:val="FF0000"/>
          <w:sz w:val="24"/>
        </w:rPr>
      </w:pPr>
    </w:p>
    <w:p w14:paraId="7D110FFC">
      <w:pPr>
        <w:spacing w:line="440" w:lineRule="exact"/>
        <w:ind w:firstLine="0" w:firstLineChars="0"/>
        <w:rPr>
          <w:rFonts w:eastAsiaTheme="minorEastAsia"/>
          <w:b/>
          <w:bCs/>
          <w:color w:val="FF0000"/>
          <w:sz w:val="24"/>
        </w:rPr>
      </w:pPr>
      <w:r>
        <w:rPr>
          <w:rFonts w:hint="eastAsia" w:eastAsiaTheme="minorEastAsia"/>
          <w:b/>
          <w:bCs/>
          <w:color w:val="FF0000"/>
          <w:sz w:val="24"/>
        </w:rPr>
        <w:t>标准转化参考：</w:t>
      </w:r>
      <w:r>
        <w:rPr>
          <w:rFonts w:ascii="宋体" w:hAnsi="宋体" w:eastAsia="宋体" w:cs="宋体"/>
          <w:sz w:val="24"/>
        </w:rPr>
        <w:t>以下为填写参考，非</w:t>
      </w:r>
      <w:r>
        <w:rPr>
          <w:rFonts w:hint="eastAsia" w:ascii="宋体" w:hAnsi="宋体" w:eastAsia="宋体" w:cs="宋体"/>
          <w:sz w:val="24"/>
        </w:rPr>
        <w:t>填写</w:t>
      </w:r>
      <w:r>
        <w:rPr>
          <w:rFonts w:ascii="宋体" w:hAnsi="宋体" w:eastAsia="宋体" w:cs="宋体"/>
          <w:sz w:val="24"/>
        </w:rPr>
        <w:t>内容</w:t>
      </w:r>
    </w:p>
    <w:p w14:paraId="129F33FB">
      <w:pPr>
        <w:spacing w:line="440" w:lineRule="exact"/>
        <w:ind w:firstLine="0" w:firstLineChars="0"/>
        <w:rPr>
          <w:rFonts w:eastAsiaTheme="minorEastAsia"/>
          <w:b/>
          <w:bCs/>
          <w:sz w:val="24"/>
        </w:rPr>
      </w:pPr>
      <w:r>
        <w:rPr>
          <w:rFonts w:hint="eastAsia" w:eastAsiaTheme="minorEastAsia"/>
          <w:b/>
          <w:bCs/>
          <w:sz w:val="24"/>
        </w:rPr>
        <w:t>参考 1：智能防错实践</w:t>
      </w:r>
    </w:p>
    <w:p w14:paraId="0099DA5C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实践内容</w:t>
      </w:r>
      <w:r>
        <w:rPr>
          <w:rFonts w:hint="eastAsia" w:eastAsiaTheme="minorEastAsia"/>
          <w:sz w:val="24"/>
        </w:rPr>
        <w:t>：总装车间通过视觉识别和MES系统联动，实现关键螺栓拧紧的智能防错。</w:t>
      </w:r>
    </w:p>
    <w:p w14:paraId="295ABB6A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标准转化方向</w:t>
      </w:r>
      <w:r>
        <w:rPr>
          <w:rFonts w:hint="eastAsia" w:eastAsiaTheme="minorEastAsia"/>
          <w:sz w:val="24"/>
        </w:rPr>
        <w:t>：建议转化为“汽车行业应用标准”。</w:t>
      </w:r>
    </w:p>
    <w:p w14:paraId="18D489A2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标准条目建议</w:t>
      </w:r>
      <w:r>
        <w:rPr>
          <w:rFonts w:hint="eastAsia" w:eastAsiaTheme="minorEastAsia"/>
          <w:sz w:val="24"/>
        </w:rPr>
        <w:t>：可提炼出“汽车总装关键工序防错系统通用技术要求”、“视觉识别在装配防错中的应用规范”等。</w:t>
      </w:r>
    </w:p>
    <w:p w14:paraId="2CB0CCB4">
      <w:pPr>
        <w:spacing w:line="440" w:lineRule="exact"/>
        <w:ind w:firstLine="0" w:firstLineChars="0"/>
        <w:rPr>
          <w:rFonts w:eastAsiaTheme="minorEastAsia"/>
          <w:b/>
          <w:bCs/>
          <w:sz w:val="24"/>
        </w:rPr>
      </w:pPr>
      <w:r>
        <w:rPr>
          <w:rFonts w:hint="eastAsia" w:eastAsiaTheme="minorEastAsia"/>
          <w:b/>
          <w:bCs/>
          <w:sz w:val="24"/>
        </w:rPr>
        <w:t>参考 2：设备预测性维护实践</w:t>
      </w:r>
    </w:p>
    <w:p w14:paraId="15A9E41B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实践内容</w:t>
      </w:r>
      <w:r>
        <w:rPr>
          <w:rFonts w:hint="eastAsia" w:eastAsiaTheme="minorEastAsia"/>
          <w:sz w:val="24"/>
        </w:rPr>
        <w:t>：焊装车间通过采集机器人数据，利用AI算法实现预测性维护。</w:t>
      </w:r>
    </w:p>
    <w:p w14:paraId="31A09F50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标准转化方向</w:t>
      </w:r>
      <w:r>
        <w:rPr>
          <w:rFonts w:hint="eastAsia" w:eastAsiaTheme="minorEastAsia"/>
          <w:sz w:val="24"/>
        </w:rPr>
        <w:t>：建议转化为“关键技术标准”。</w:t>
      </w:r>
    </w:p>
    <w:p w14:paraId="7A0C846E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标准条目建议</w:t>
      </w:r>
      <w:r>
        <w:rPr>
          <w:rFonts w:hint="eastAsia" w:eastAsiaTheme="minorEastAsia"/>
          <w:sz w:val="24"/>
        </w:rPr>
        <w:t>：可提炼出“工业机器人预测性维护数据采集规范”、“基于机器学习的设备故障预测模型通用要求”等。</w:t>
      </w:r>
    </w:p>
    <w:p w14:paraId="4D4179A4">
      <w:pPr>
        <w:spacing w:line="440" w:lineRule="exact"/>
        <w:ind w:firstLine="0" w:firstLineChars="0"/>
        <w:rPr>
          <w:rFonts w:eastAsiaTheme="minorEastAsia"/>
          <w:b/>
          <w:bCs/>
          <w:sz w:val="24"/>
        </w:rPr>
      </w:pPr>
      <w:r>
        <w:rPr>
          <w:rFonts w:hint="eastAsia" w:eastAsiaTheme="minorEastAsia"/>
          <w:b/>
          <w:bCs/>
          <w:sz w:val="24"/>
        </w:rPr>
        <w:t>参考 3：供应链协同实践</w:t>
      </w:r>
    </w:p>
    <w:p w14:paraId="63E46C9B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实践内容</w:t>
      </w:r>
      <w:r>
        <w:rPr>
          <w:rFonts w:hint="eastAsia" w:eastAsiaTheme="minorEastAsia"/>
          <w:sz w:val="24"/>
        </w:rPr>
        <w:t>：主机厂与供应商之间实现基于区块链的订单与物流信息协同。</w:t>
      </w:r>
    </w:p>
    <w:p w14:paraId="4D2762F4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标准转化方向</w:t>
      </w:r>
      <w:r>
        <w:rPr>
          <w:rFonts w:hint="eastAsia" w:eastAsiaTheme="minorEastAsia"/>
          <w:sz w:val="24"/>
        </w:rPr>
        <w:t>：建议转化为“基础共性标准”。</w:t>
      </w:r>
    </w:p>
    <w:p w14:paraId="7B0C1303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标准条目建议</w:t>
      </w:r>
      <w:r>
        <w:rPr>
          <w:rFonts w:hint="eastAsia" w:eastAsiaTheme="minorEastAsia"/>
          <w:sz w:val="24"/>
        </w:rPr>
        <w:t>：可提炼出“汽车供应链协同数据交互格式”、“基于区块链的汽车供应链数据共享安全要求”等。</w:t>
      </w:r>
    </w:p>
    <w:p w14:paraId="19425B45">
      <w:pPr>
        <w:spacing w:line="440" w:lineRule="exact"/>
        <w:ind w:firstLine="0" w:firstLineChars="0"/>
        <w:rPr>
          <w:rFonts w:eastAsiaTheme="minorEastAsia"/>
          <w:sz w:val="24"/>
        </w:rPr>
      </w:pPr>
    </w:p>
    <w:p w14:paraId="21B41F3D">
      <w:pPr>
        <w:keepNext/>
        <w:keepLines/>
        <w:numPr>
          <w:ilvl w:val="0"/>
          <w:numId w:val="3"/>
        </w:numPr>
        <w:spacing w:before="60" w:after="60" w:line="240" w:lineRule="auto"/>
        <w:ind w:firstLine="562"/>
        <w:outlineLvl w:val="0"/>
        <w:rPr>
          <w:rFonts w:eastAsia="黑体"/>
          <w:bCs/>
          <w:kern w:val="44"/>
          <w:sz w:val="28"/>
        </w:rPr>
      </w:pPr>
      <w:r>
        <w:rPr>
          <w:rFonts w:hint="eastAsia" w:eastAsia="黑体"/>
          <w:b/>
          <w:kern w:val="44"/>
          <w:sz w:val="28"/>
        </w:rPr>
        <w:t>附件</w:t>
      </w:r>
      <w:r>
        <w:rPr>
          <w:b/>
          <w:sz w:val="21"/>
        </w:rPr>
        <w:t>【选填】</w:t>
      </w:r>
    </w:p>
    <w:p w14:paraId="161F3158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可附以下支撑材料（除直接粘贴在模板中的材料，也可另附电子文件提交）：</w:t>
      </w:r>
    </w:p>
    <w:p w14:paraId="45B4A9B3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☑ 流程示意图/泳道图（见3.2）</w:t>
      </w:r>
    </w:p>
    <w:p w14:paraId="3EDF22BA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☑ 系统架构图/网络拓扑图</w:t>
      </w:r>
    </w:p>
    <w:p w14:paraId="1144063A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☑ 现场实景图/产线照片</w:t>
      </w:r>
    </w:p>
    <w:p w14:paraId="79AF8B93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☑ 原始数据报表/指标统计</w:t>
      </w:r>
    </w:p>
    <w:p w14:paraId="5E8A828F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工艺文件/SOP文档</w:t>
      </w:r>
    </w:p>
    <w:p w14:paraId="02BF810B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视频材料</w:t>
      </w:r>
    </w:p>
    <w:p w14:paraId="07C6355A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其他支撑材料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9"/>
        <w:gridCol w:w="6357"/>
      </w:tblGrid>
      <w:tr w14:paraId="69EBF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vAlign w:val="center"/>
          </w:tcPr>
          <w:p w14:paraId="59F9739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【选填】</w:t>
            </w: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br w:type="textWrapping"/>
            </w: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附件说明</w:t>
            </w:r>
          </w:p>
        </w:tc>
        <w:tc>
          <w:tcPr>
            <w:tcW w:w="6520" w:type="dxa"/>
          </w:tcPr>
          <w:p w14:paraId="51D3898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kern w:val="0"/>
                <w:sz w:val="24"/>
              </w:rPr>
              <w:t>（不超过100字）</w:t>
            </w:r>
            <w:r>
              <w:rPr>
                <w:rFonts w:hint="eastAsia" w:ascii="仿宋" w:hAnsi="仿宋" w:cs="仿宋"/>
                <w:i/>
                <w:color w:val="808080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cs="仿宋"/>
                <w:color w:val="808080"/>
                <w:kern w:val="0"/>
                <w:sz w:val="24"/>
              </w:rPr>
              <w:t>填写说明：简要说明附件内容及数量</w:t>
            </w:r>
            <w:r>
              <w:rPr>
                <w:rFonts w:hint="eastAsia" w:ascii="仿宋" w:hAnsi="仿宋" w:cs="仿宋"/>
                <w:color w:val="808080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cs="仿宋"/>
                <w:kern w:val="0"/>
                <w:sz w:val="24"/>
              </w:rPr>
              <w:t>共4份电子附件：系统架构图1份、现场实景图3张、拧紧数据样例报表1份、防错SOP文档1份。</w:t>
            </w:r>
          </w:p>
          <w:p w14:paraId="3B4F3D35">
            <w:pPr>
              <w:widowControl/>
              <w:spacing w:after="120"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</w:p>
        </w:tc>
      </w:tr>
    </w:tbl>
    <w:p w14:paraId="1BDD8FF2">
      <w:pPr>
        <w:spacing w:line="440" w:lineRule="exact"/>
        <w:ind w:firstLine="480"/>
        <w:rPr>
          <w:rFonts w:eastAsiaTheme="minorEastAsia"/>
          <w:sz w:val="24"/>
        </w:rPr>
      </w:pPr>
    </w:p>
    <w:p w14:paraId="1DE7F508">
      <w:pPr>
        <w:keepNext/>
        <w:keepLines/>
        <w:spacing w:before="60" w:after="60" w:line="240" w:lineRule="auto"/>
        <w:ind w:firstLine="0" w:firstLineChars="0"/>
        <w:outlineLvl w:val="0"/>
        <w:rPr>
          <w:rFonts w:eastAsia="黑体"/>
          <w:b/>
          <w:kern w:val="44"/>
          <w:sz w:val="28"/>
        </w:rPr>
      </w:pPr>
      <w:r>
        <w:rPr>
          <w:rFonts w:hint="eastAsia" w:eastAsia="黑体"/>
          <w:b/>
          <w:kern w:val="44"/>
          <w:sz w:val="28"/>
        </w:rPr>
        <w:t>企业审核栏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4"/>
        <w:gridCol w:w="6362"/>
      </w:tblGrid>
      <w:tr w14:paraId="4F936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66AFFDA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填报人</w:t>
            </w:r>
          </w:p>
        </w:tc>
        <w:tc>
          <w:tcPr>
            <w:tcW w:w="6362" w:type="dxa"/>
          </w:tcPr>
          <w:p w14:paraId="08A225DE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张XX</w:t>
            </w:r>
          </w:p>
        </w:tc>
      </w:tr>
      <w:tr w14:paraId="4160C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65B05CB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</w:rPr>
              <w:t>部门及职务</w:t>
            </w:r>
          </w:p>
        </w:tc>
        <w:tc>
          <w:tcPr>
            <w:tcW w:w="6362" w:type="dxa"/>
          </w:tcPr>
          <w:p w14:paraId="39E2804C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制造工程部 高级工程师</w:t>
            </w:r>
          </w:p>
        </w:tc>
      </w:tr>
      <w:tr w14:paraId="00BE9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37FD2EB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联系电话</w:t>
            </w:r>
          </w:p>
        </w:tc>
        <w:tc>
          <w:tcPr>
            <w:tcW w:w="6362" w:type="dxa"/>
          </w:tcPr>
          <w:p w14:paraId="06F5049C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138XXXX1234</w:t>
            </w:r>
          </w:p>
        </w:tc>
      </w:tr>
      <w:tr w14:paraId="11CF0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2A1AB8B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联系</w:t>
            </w:r>
            <w:r>
              <w:rPr>
                <w:rFonts w:hint="eastAsia" w:ascii="仿宋" w:hAnsi="仿宋" w:cs="仿宋"/>
                <w:b/>
                <w:kern w:val="0"/>
                <w:sz w:val="24"/>
              </w:rPr>
              <w:t>邮箱</w:t>
            </w:r>
          </w:p>
        </w:tc>
        <w:tc>
          <w:tcPr>
            <w:tcW w:w="6362" w:type="dxa"/>
          </w:tcPr>
          <w:p w14:paraId="5E2D7ADB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sz w:val="24"/>
              </w:rPr>
              <w:t>zhangxx@example.com</w:t>
            </w:r>
          </w:p>
        </w:tc>
      </w:tr>
      <w:tr w14:paraId="1D8D4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4F3BF86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单位</w:t>
            </w:r>
            <w:r>
              <w:rPr>
                <w:rFonts w:hint="eastAsia" w:ascii="仿宋" w:hAnsi="仿宋" w:cs="仿宋"/>
                <w:b/>
                <w:kern w:val="0"/>
                <w:sz w:val="24"/>
              </w:rPr>
              <w:t>（</w:t>
            </w: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盖章</w:t>
            </w:r>
            <w:r>
              <w:rPr>
                <w:rFonts w:hint="eastAsia" w:ascii="仿宋" w:hAnsi="仿宋" w:cs="仿宋"/>
                <w:b/>
                <w:kern w:val="0"/>
                <w:sz w:val="24"/>
              </w:rPr>
              <w:t>）</w:t>
            </w:r>
          </w:p>
        </w:tc>
        <w:tc>
          <w:tcPr>
            <w:tcW w:w="6362" w:type="dxa"/>
            <w:vAlign w:val="center"/>
          </w:tcPr>
          <w:p w14:paraId="4AB5BBC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4"/>
                <w:lang w:eastAsia="en-US"/>
              </w:rPr>
              <w:br w:type="textWrapping"/>
            </w:r>
            <w:r>
              <w:rPr>
                <w:rFonts w:hint="eastAsia" w:ascii="仿宋" w:hAnsi="仿宋" w:cs="仿宋"/>
                <w:kern w:val="0"/>
                <w:sz w:val="24"/>
                <w:lang w:eastAsia="en-US"/>
              </w:rPr>
              <w:br w:type="textWrapping"/>
            </w:r>
            <w:r>
              <w:rPr>
                <w:rFonts w:hint="eastAsia" w:ascii="仿宋" w:hAnsi="仿宋" w:cs="仿宋"/>
                <w:kern w:val="0"/>
                <w:sz w:val="24"/>
                <w:lang w:eastAsia="en-US"/>
              </w:rPr>
              <w:t>（盖章处）</w:t>
            </w:r>
          </w:p>
          <w:p w14:paraId="38F1566C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4"/>
                <w:lang w:eastAsia="en-US"/>
              </w:rPr>
              <w:br w:type="textWrapping"/>
            </w:r>
          </w:p>
        </w:tc>
      </w:tr>
      <w:tr w14:paraId="3A1B2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513426D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4"/>
                <w:lang w:eastAsia="en-US"/>
              </w:rPr>
              <w:t>日期</w:t>
            </w:r>
          </w:p>
        </w:tc>
        <w:tc>
          <w:tcPr>
            <w:tcW w:w="6362" w:type="dxa"/>
            <w:vAlign w:val="center"/>
          </w:tcPr>
          <w:p w14:paraId="58C28954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4"/>
              </w:rPr>
              <w:t>2026</w:t>
            </w:r>
            <w:r>
              <w:rPr>
                <w:rFonts w:hint="eastAsia" w:ascii="仿宋" w:hAnsi="仿宋" w:cs="仿宋"/>
                <w:kern w:val="0"/>
                <w:sz w:val="24"/>
                <w:lang w:eastAsia="en-US"/>
              </w:rPr>
              <w:t>年</w:t>
            </w:r>
            <w:r>
              <w:rPr>
                <w:rFonts w:hint="eastAsia" w:ascii="仿宋" w:hAnsi="仿宋" w:cs="仿宋"/>
                <w:kern w:val="0"/>
                <w:sz w:val="24"/>
              </w:rPr>
              <w:t>10</w:t>
            </w:r>
            <w:r>
              <w:rPr>
                <w:rFonts w:hint="eastAsia" w:ascii="仿宋" w:hAnsi="仿宋" w:cs="仿宋"/>
                <w:kern w:val="0"/>
                <w:sz w:val="24"/>
                <w:lang w:eastAsia="en-US"/>
              </w:rPr>
              <w:t xml:space="preserve">月 </w:t>
            </w:r>
            <w:r>
              <w:rPr>
                <w:rFonts w:hint="eastAsia" w:ascii="仿宋" w:hAnsi="仿宋" w:cs="仿宋"/>
                <w:kern w:val="0"/>
                <w:sz w:val="24"/>
              </w:rPr>
              <w:t>20</w:t>
            </w:r>
            <w:r>
              <w:rPr>
                <w:rFonts w:hint="eastAsia" w:ascii="仿宋" w:hAnsi="仿宋" w:cs="仿宋"/>
                <w:kern w:val="0"/>
                <w:sz w:val="24"/>
                <w:lang w:eastAsia="en-US"/>
              </w:rPr>
              <w:t>日</w:t>
            </w:r>
          </w:p>
        </w:tc>
      </w:tr>
    </w:tbl>
    <w:p w14:paraId="3FC3E246">
      <w:pPr>
        <w:ind w:firstLine="0" w:firstLineChars="0"/>
      </w:pPr>
    </w:p>
    <w:p w14:paraId="58CC80ED">
      <w:pPr>
        <w:ind w:firstLine="0" w:firstLineChars="0"/>
      </w:pPr>
    </w:p>
    <w:p w14:paraId="387AFAB6">
      <w:pPr>
        <w:ind w:firstLine="0" w:firstLineChars="0"/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CC1015"/>
    <w:multiLevelType w:val="singleLevel"/>
    <w:tmpl w:val="D9CC1015"/>
    <w:lvl w:ilvl="0" w:tentative="0">
      <w:start w:val="1"/>
      <w:numFmt w:val="decimal"/>
      <w:suff w:val="nothing"/>
      <w:lvlText w:val="%1-"/>
      <w:lvlJc w:val="left"/>
    </w:lvl>
  </w:abstractNum>
  <w:abstractNum w:abstractNumId="1">
    <w:nsid w:val="F96EC78A"/>
    <w:multiLevelType w:val="singleLevel"/>
    <w:tmpl w:val="F96EC78A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BA779F1"/>
    <w:multiLevelType w:val="singleLevel"/>
    <w:tmpl w:val="FBA779F1"/>
    <w:lvl w:ilvl="0" w:tentative="0">
      <w:start w:val="7"/>
      <w:numFmt w:val="chineseCounting"/>
      <w:suff w:val="space"/>
      <w:lvlText w:val="第%1部分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271"/>
    <w:rsid w:val="000F0052"/>
    <w:rsid w:val="002128AE"/>
    <w:rsid w:val="00361271"/>
    <w:rsid w:val="0042021B"/>
    <w:rsid w:val="00AE0882"/>
    <w:rsid w:val="00C4033D"/>
    <w:rsid w:val="00CF08D8"/>
    <w:rsid w:val="00F7746C"/>
    <w:rsid w:val="03957C96"/>
    <w:rsid w:val="06B1434D"/>
    <w:rsid w:val="18777991"/>
    <w:rsid w:val="1E5D3470"/>
    <w:rsid w:val="24551198"/>
    <w:rsid w:val="247E5BEF"/>
    <w:rsid w:val="2B3F020C"/>
    <w:rsid w:val="2DB07F1F"/>
    <w:rsid w:val="367317EE"/>
    <w:rsid w:val="39C74C7B"/>
    <w:rsid w:val="401846BA"/>
    <w:rsid w:val="43535F38"/>
    <w:rsid w:val="44DF5E97"/>
    <w:rsid w:val="4B3D5E12"/>
    <w:rsid w:val="52D71FC3"/>
    <w:rsid w:val="61771158"/>
    <w:rsid w:val="636E39F3"/>
    <w:rsid w:val="67802610"/>
    <w:rsid w:val="6AD20E4F"/>
    <w:rsid w:val="6CCF595D"/>
    <w:rsid w:val="6DB37E7C"/>
    <w:rsid w:val="70EB5F45"/>
    <w:rsid w:val="755367E0"/>
    <w:rsid w:val="777D0C47"/>
    <w:rsid w:val="7968023E"/>
    <w:rsid w:val="7CF31FF6"/>
    <w:rsid w:val="7D554D92"/>
    <w:rsid w:val="7FE5DFDA"/>
    <w:rsid w:val="7FF13F5C"/>
    <w:rsid w:val="DEBEF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eastAsia="仿宋" w:asciiTheme="minorHAnsi" w:hAnsiTheme="minorHAns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rFonts w:eastAsia="黑体"/>
      <w:b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440" w:lineRule="exact"/>
      <w:outlineLvl w:val="1"/>
    </w:pPr>
    <w:rPr>
      <w:rFonts w:ascii="Calibri" w:hAnsi="Calibri" w:eastAsia="宋体"/>
      <w:b/>
      <w:sz w:val="2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2"/>
    <w:qFormat/>
    <w:uiPriority w:val="0"/>
    <w:pPr>
      <w:jc w:val="left"/>
    </w:pPr>
  </w:style>
  <w:style w:type="paragraph" w:styleId="5">
    <w:name w:val="annotation subject"/>
    <w:basedOn w:val="4"/>
    <w:next w:val="4"/>
    <w:link w:val="13"/>
    <w:qFormat/>
    <w:uiPriority w:val="0"/>
    <w:rPr>
      <w:b/>
      <w:bCs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annotation reference"/>
    <w:basedOn w:val="8"/>
    <w:qFormat/>
    <w:uiPriority w:val="0"/>
    <w:rPr>
      <w:sz w:val="21"/>
      <w:szCs w:val="21"/>
    </w:rPr>
  </w:style>
  <w:style w:type="paragraph" w:customStyle="1" w:styleId="11">
    <w:name w:val="Revision"/>
    <w:hidden/>
    <w:unhideWhenUsed/>
    <w:qFormat/>
    <w:uiPriority w:val="99"/>
    <w:rPr>
      <w:rFonts w:eastAsia="仿宋" w:asciiTheme="minorHAnsi" w:hAnsiTheme="minorHAnsi" w:cstheme="minorBidi"/>
      <w:kern w:val="2"/>
      <w:sz w:val="32"/>
      <w:szCs w:val="24"/>
      <w:lang w:val="en-US" w:eastAsia="zh-CN" w:bidi="ar-SA"/>
    </w:rPr>
  </w:style>
  <w:style w:type="character" w:customStyle="1" w:styleId="12">
    <w:name w:val="批注文字 字符"/>
    <w:basedOn w:val="8"/>
    <w:link w:val="4"/>
    <w:qFormat/>
    <w:uiPriority w:val="0"/>
    <w:rPr>
      <w:rFonts w:eastAsia="仿宋" w:asciiTheme="minorHAnsi" w:hAnsiTheme="minorHAnsi" w:cstheme="minorBidi"/>
      <w:kern w:val="2"/>
      <w:sz w:val="32"/>
      <w:szCs w:val="24"/>
    </w:rPr>
  </w:style>
  <w:style w:type="character" w:customStyle="1" w:styleId="13">
    <w:name w:val="批注主题 字符"/>
    <w:basedOn w:val="12"/>
    <w:link w:val="5"/>
    <w:qFormat/>
    <w:uiPriority w:val="0"/>
    <w:rPr>
      <w:rFonts w:eastAsia="仿宋" w:asciiTheme="minorHAnsi" w:hAnsiTheme="minorHAnsi" w:cstheme="minorBidi"/>
      <w:b/>
      <w:bCs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2192</Words>
  <Characters>12499</Characters>
  <Lines>104</Lines>
  <Paragraphs>29</Paragraphs>
  <TotalTime>8</TotalTime>
  <ScaleCrop>false</ScaleCrop>
  <LinksUpToDate>false</LinksUpToDate>
  <CharactersWithSpaces>14662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2026-06-13T04:42:00Z</dcterms:created>
  <dc:creator>HUAWEI</dc:creator>
  <cp:lastModifiedBy>user</cp:lastModifiedBy>
  <dcterms:modified xsi:type="dcterms:W3CDTF">2026-10-12T14:08:36Z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654D4721A59793014779CC6A0491DBF2_43</vt:lpwstr>
  </property>
</Properties>
</file>