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8580B">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_GB2312" w:hAnsi="仿宋" w:eastAsia="黑体" w:cs="Times New Roman"/>
          <w:b w:val="0"/>
          <w:bCs/>
          <w:sz w:val="32"/>
          <w:szCs w:val="24"/>
        </w:rPr>
      </w:pPr>
      <w:r>
        <w:rPr>
          <w:rFonts w:ascii="仿宋_GB2312" w:hAnsi="仿宋" w:eastAsia="黑体" w:cs="Times New Roman"/>
          <w:b w:val="0"/>
          <w:bCs/>
          <w:sz w:val="32"/>
          <w:szCs w:val="24"/>
        </w:rPr>
        <w:t>附件1</w:t>
      </w:r>
    </w:p>
    <w:p w14:paraId="1303A24B">
      <w:pPr>
        <w:spacing w:before="156" w:beforeLines="50" w:after="156" w:afterLines="50" w:line="360" w:lineRule="auto"/>
        <w:jc w:val="center"/>
        <w:rPr>
          <w:rFonts w:ascii="仿宋_GB2312" w:hAnsi="仿宋" w:eastAsia="黑体" w:cs="Times New Roman"/>
          <w:b w:val="0"/>
          <w:bCs/>
          <w:sz w:val="24"/>
          <w:szCs w:val="24"/>
        </w:rPr>
      </w:pPr>
      <w:r>
        <w:rPr>
          <w:rFonts w:hint="eastAsia" w:ascii="黑体" w:hAnsi="黑体" w:eastAsia="黑体" w:cs="Times New Roman"/>
          <w:b w:val="0"/>
          <w:bCs/>
          <w:sz w:val="24"/>
          <w:szCs w:val="24"/>
        </w:rPr>
        <w:t>2</w:t>
      </w:r>
      <w:r>
        <w:rPr>
          <w:rFonts w:ascii="黑体" w:hAnsi="黑体" w:eastAsia="黑体" w:cs="Times New Roman"/>
          <w:b w:val="0"/>
          <w:bCs/>
          <w:sz w:val="24"/>
          <w:szCs w:val="24"/>
        </w:rPr>
        <w:t>02</w:t>
      </w:r>
      <w:r>
        <w:rPr>
          <w:rFonts w:hint="eastAsia" w:ascii="黑体" w:hAnsi="黑体" w:eastAsia="黑体" w:cs="Times New Roman"/>
          <w:b w:val="0"/>
          <w:bCs/>
          <w:sz w:val="24"/>
          <w:szCs w:val="24"/>
          <w:lang w:val="en-US" w:eastAsia="zh-CN"/>
        </w:rPr>
        <w:t>6</w:t>
      </w:r>
      <w:r>
        <w:rPr>
          <w:rFonts w:ascii="黑体" w:hAnsi="黑体" w:eastAsia="黑体" w:cs="Times New Roman"/>
          <w:b w:val="0"/>
          <w:bCs/>
          <w:sz w:val="24"/>
          <w:szCs w:val="24"/>
        </w:rPr>
        <w:t>年</w:t>
      </w:r>
      <w:r>
        <w:rPr>
          <w:rFonts w:hint="eastAsia" w:ascii="黑体" w:hAnsi="黑体" w:eastAsia="黑体" w:cs="Times New Roman"/>
          <w:b w:val="0"/>
          <w:bCs/>
          <w:sz w:val="24"/>
          <w:szCs w:val="24"/>
        </w:rPr>
        <w:t>汽车标准化</w:t>
      </w:r>
      <w:r>
        <w:rPr>
          <w:rFonts w:ascii="黑体" w:hAnsi="黑体" w:eastAsia="黑体" w:cs="Times New Roman"/>
          <w:b w:val="0"/>
          <w:bCs/>
          <w:sz w:val="24"/>
          <w:szCs w:val="24"/>
        </w:rPr>
        <w:t>公益性开放课题申请列表</w:t>
      </w:r>
    </w:p>
    <w:tbl>
      <w:tblPr>
        <w:tblStyle w:val="8"/>
        <w:tblW w:w="53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
        <w:gridCol w:w="606"/>
        <w:gridCol w:w="1967"/>
        <w:gridCol w:w="6343"/>
        <w:gridCol w:w="4831"/>
        <w:gridCol w:w="811"/>
      </w:tblGrid>
      <w:tr w14:paraId="5CB82D1D">
        <w:trPr>
          <w:trHeight w:val="618" w:hRule="atLeast"/>
          <w:tblHeader/>
          <w:jc w:val="center"/>
        </w:trPr>
        <w:tc>
          <w:tcPr>
            <w:tcW w:w="134" w:type="pct"/>
            <w:shd w:val="clear" w:color="auto" w:fill="auto"/>
            <w:tcMar>
              <w:top w:w="0" w:type="dxa"/>
              <w:left w:w="28" w:type="dxa"/>
              <w:bottom w:w="0" w:type="dxa"/>
              <w:right w:w="28" w:type="dxa"/>
            </w:tcMar>
            <w:vAlign w:val="center"/>
          </w:tcPr>
          <w:p w14:paraId="2223B7B5">
            <w:pPr>
              <w:keepNext w:val="0"/>
              <w:keepLines w:val="0"/>
              <w:pageBreakBefore w:val="0"/>
              <w:kinsoku/>
              <w:wordWrap/>
              <w:overflowPunct/>
              <w:topLinePunct w:val="0"/>
              <w:autoSpaceDE/>
              <w:autoSpaceDN/>
              <w:bidi w:val="0"/>
              <w:snapToGrid w:val="0"/>
              <w:spacing w:before="79" w:beforeLines="25" w:after="79" w:afterLines="25"/>
              <w:jc w:val="center"/>
              <w:rPr>
                <w:rFonts w:ascii="Times New Roman" w:hAnsi="Times New Roman" w:cs="Times New Roman"/>
                <w:b/>
                <w:bCs/>
                <w:sz w:val="21"/>
                <w:szCs w:val="21"/>
              </w:rPr>
            </w:pPr>
            <w:r>
              <w:rPr>
                <w:rFonts w:ascii="Times New Roman" w:hAnsi="Times New Roman" w:cs="Times New Roman"/>
                <w:b/>
                <w:bCs/>
                <w:sz w:val="21"/>
                <w:szCs w:val="21"/>
              </w:rPr>
              <w:t>序号</w:t>
            </w:r>
          </w:p>
        </w:tc>
        <w:tc>
          <w:tcPr>
            <w:tcW w:w="202" w:type="pct"/>
            <w:tcMar>
              <w:top w:w="0" w:type="dxa"/>
              <w:left w:w="28" w:type="dxa"/>
              <w:bottom w:w="0" w:type="dxa"/>
              <w:right w:w="28" w:type="dxa"/>
            </w:tcMar>
            <w:vAlign w:val="center"/>
          </w:tcPr>
          <w:p w14:paraId="181FDFD2">
            <w:pPr>
              <w:keepNext w:val="0"/>
              <w:keepLines w:val="0"/>
              <w:pageBreakBefore w:val="0"/>
              <w:kinsoku/>
              <w:wordWrap/>
              <w:overflowPunct/>
              <w:topLinePunct w:val="0"/>
              <w:autoSpaceDE/>
              <w:autoSpaceDN/>
              <w:bidi w:val="0"/>
              <w:snapToGrid w:val="0"/>
              <w:spacing w:before="79" w:beforeLines="25" w:after="79" w:afterLines="25"/>
              <w:jc w:val="center"/>
              <w:rPr>
                <w:rFonts w:ascii="Times New Roman" w:hAnsi="Times New Roman" w:cs="Times New Roman"/>
                <w:b/>
                <w:bCs/>
                <w:sz w:val="21"/>
                <w:szCs w:val="21"/>
              </w:rPr>
            </w:pPr>
            <w:r>
              <w:rPr>
                <w:rFonts w:ascii="Times New Roman" w:hAnsi="Times New Roman" w:cs="Times New Roman"/>
                <w:b/>
                <w:bCs/>
                <w:sz w:val="21"/>
                <w:szCs w:val="21"/>
              </w:rPr>
              <w:t>领域</w:t>
            </w:r>
          </w:p>
        </w:tc>
        <w:tc>
          <w:tcPr>
            <w:tcW w:w="657" w:type="pct"/>
            <w:shd w:val="clear" w:color="auto" w:fill="auto"/>
            <w:tcMar>
              <w:top w:w="0" w:type="dxa"/>
              <w:left w:w="28" w:type="dxa"/>
              <w:bottom w:w="0" w:type="dxa"/>
              <w:right w:w="28" w:type="dxa"/>
            </w:tcMar>
            <w:vAlign w:val="center"/>
          </w:tcPr>
          <w:p w14:paraId="385016FF">
            <w:pPr>
              <w:keepNext w:val="0"/>
              <w:keepLines w:val="0"/>
              <w:pageBreakBefore w:val="0"/>
              <w:kinsoku/>
              <w:wordWrap/>
              <w:overflowPunct/>
              <w:topLinePunct w:val="0"/>
              <w:autoSpaceDE/>
              <w:autoSpaceDN/>
              <w:bidi w:val="0"/>
              <w:snapToGrid w:val="0"/>
              <w:spacing w:before="79" w:beforeLines="25" w:after="79" w:afterLines="25"/>
              <w:jc w:val="center"/>
              <w:rPr>
                <w:rFonts w:ascii="Times New Roman" w:hAnsi="Times New Roman" w:cs="Times New Roman"/>
                <w:b/>
                <w:bCs/>
                <w:sz w:val="21"/>
                <w:szCs w:val="21"/>
              </w:rPr>
            </w:pPr>
            <w:r>
              <w:rPr>
                <w:rFonts w:ascii="Times New Roman" w:hAnsi="Times New Roman" w:cs="Times New Roman"/>
                <w:b/>
                <w:bCs/>
                <w:sz w:val="21"/>
                <w:szCs w:val="21"/>
              </w:rPr>
              <w:t>课题名称</w:t>
            </w:r>
          </w:p>
        </w:tc>
        <w:tc>
          <w:tcPr>
            <w:tcW w:w="2120" w:type="pct"/>
            <w:shd w:val="clear" w:color="auto" w:fill="auto"/>
            <w:tcMar>
              <w:top w:w="0" w:type="dxa"/>
              <w:left w:w="28" w:type="dxa"/>
              <w:bottom w:w="0" w:type="dxa"/>
              <w:right w:w="28" w:type="dxa"/>
            </w:tcMar>
            <w:vAlign w:val="center"/>
          </w:tcPr>
          <w:p w14:paraId="3D84ADA6">
            <w:pPr>
              <w:keepNext w:val="0"/>
              <w:keepLines w:val="0"/>
              <w:pageBreakBefore w:val="0"/>
              <w:kinsoku/>
              <w:wordWrap/>
              <w:overflowPunct/>
              <w:topLinePunct w:val="0"/>
              <w:autoSpaceDE/>
              <w:autoSpaceDN/>
              <w:bidi w:val="0"/>
              <w:snapToGrid w:val="0"/>
              <w:spacing w:before="79" w:beforeLines="25" w:after="79" w:afterLines="25"/>
              <w:jc w:val="center"/>
              <w:rPr>
                <w:rFonts w:ascii="Times New Roman" w:hAnsi="Times New Roman" w:cs="Times New Roman"/>
                <w:b/>
                <w:bCs/>
                <w:sz w:val="21"/>
                <w:szCs w:val="21"/>
              </w:rPr>
            </w:pPr>
            <w:r>
              <w:rPr>
                <w:rFonts w:ascii="Times New Roman" w:hAnsi="Times New Roman" w:cs="Times New Roman"/>
                <w:b/>
                <w:bCs/>
                <w:sz w:val="21"/>
                <w:szCs w:val="21"/>
              </w:rPr>
              <w:t>研究目标</w:t>
            </w:r>
          </w:p>
        </w:tc>
        <w:tc>
          <w:tcPr>
            <w:tcW w:w="1614" w:type="pct"/>
            <w:shd w:val="clear" w:color="auto" w:fill="auto"/>
            <w:tcMar>
              <w:top w:w="0" w:type="dxa"/>
              <w:left w:w="28" w:type="dxa"/>
              <w:bottom w:w="0" w:type="dxa"/>
              <w:right w:w="28" w:type="dxa"/>
            </w:tcMar>
            <w:vAlign w:val="center"/>
          </w:tcPr>
          <w:p w14:paraId="0952BDF3">
            <w:pPr>
              <w:keepNext w:val="0"/>
              <w:keepLines w:val="0"/>
              <w:pageBreakBefore w:val="0"/>
              <w:kinsoku/>
              <w:wordWrap/>
              <w:overflowPunct/>
              <w:topLinePunct w:val="0"/>
              <w:autoSpaceDE/>
              <w:autoSpaceDN/>
              <w:bidi w:val="0"/>
              <w:snapToGrid w:val="0"/>
              <w:spacing w:before="79" w:beforeLines="25" w:after="79" w:afterLines="25"/>
              <w:jc w:val="center"/>
              <w:rPr>
                <w:rFonts w:ascii="Times New Roman" w:hAnsi="Times New Roman" w:cs="Times New Roman"/>
                <w:b/>
                <w:bCs/>
                <w:sz w:val="21"/>
                <w:szCs w:val="21"/>
              </w:rPr>
            </w:pPr>
            <w:r>
              <w:rPr>
                <w:rFonts w:ascii="Times New Roman" w:hAnsi="Times New Roman" w:cs="Times New Roman"/>
                <w:b/>
                <w:bCs/>
                <w:sz w:val="21"/>
                <w:szCs w:val="21"/>
              </w:rPr>
              <w:t>考核指标</w:t>
            </w:r>
          </w:p>
        </w:tc>
        <w:tc>
          <w:tcPr>
            <w:tcW w:w="271" w:type="pct"/>
            <w:shd w:val="clear" w:color="auto" w:fill="auto"/>
            <w:tcMar>
              <w:top w:w="0" w:type="dxa"/>
              <w:left w:w="28" w:type="dxa"/>
              <w:bottom w:w="0" w:type="dxa"/>
              <w:right w:w="28" w:type="dxa"/>
            </w:tcMar>
            <w:vAlign w:val="center"/>
          </w:tcPr>
          <w:p w14:paraId="161B94B6">
            <w:pPr>
              <w:keepNext w:val="0"/>
              <w:keepLines w:val="0"/>
              <w:pageBreakBefore w:val="0"/>
              <w:kinsoku/>
              <w:wordWrap/>
              <w:overflowPunct/>
              <w:topLinePunct w:val="0"/>
              <w:autoSpaceDE/>
              <w:autoSpaceDN/>
              <w:bidi w:val="0"/>
              <w:snapToGrid w:val="0"/>
              <w:spacing w:before="79" w:beforeLines="25" w:after="79" w:afterLines="25"/>
              <w:jc w:val="center"/>
              <w:rPr>
                <w:rFonts w:ascii="Times New Roman" w:hAnsi="Times New Roman" w:cs="Times New Roman"/>
                <w:b/>
                <w:bCs/>
                <w:sz w:val="21"/>
                <w:szCs w:val="21"/>
                <w:highlight w:val="none"/>
              </w:rPr>
            </w:pPr>
            <w:r>
              <w:rPr>
                <w:rFonts w:ascii="Times New Roman" w:hAnsi="Times New Roman" w:cs="Times New Roman"/>
                <w:b/>
                <w:bCs/>
                <w:sz w:val="21"/>
                <w:szCs w:val="21"/>
                <w:highlight w:val="none"/>
              </w:rPr>
              <w:t>金额</w:t>
            </w:r>
          </w:p>
          <w:p w14:paraId="719060A8">
            <w:pPr>
              <w:keepNext w:val="0"/>
              <w:keepLines w:val="0"/>
              <w:pageBreakBefore w:val="0"/>
              <w:kinsoku/>
              <w:wordWrap/>
              <w:overflowPunct/>
              <w:topLinePunct w:val="0"/>
              <w:autoSpaceDE/>
              <w:autoSpaceDN/>
              <w:bidi w:val="0"/>
              <w:snapToGrid w:val="0"/>
              <w:spacing w:before="79" w:beforeLines="25" w:after="79" w:afterLines="25"/>
              <w:jc w:val="center"/>
              <w:rPr>
                <w:rFonts w:ascii="Times New Roman" w:hAnsi="Times New Roman" w:cs="Times New Roman"/>
                <w:b/>
                <w:bCs/>
                <w:sz w:val="21"/>
                <w:szCs w:val="21"/>
              </w:rPr>
            </w:pPr>
            <w:r>
              <w:rPr>
                <w:rFonts w:hint="eastAsia" w:ascii="Times New Roman" w:hAnsi="Times New Roman" w:cs="Times New Roman"/>
                <w:b/>
                <w:bCs/>
                <w:sz w:val="21"/>
                <w:szCs w:val="21"/>
                <w:highlight w:val="none"/>
              </w:rPr>
              <w:t>（万元）</w:t>
            </w:r>
          </w:p>
        </w:tc>
      </w:tr>
      <w:tr w14:paraId="4BFF201A">
        <w:trPr>
          <w:jc w:val="center"/>
        </w:trPr>
        <w:tc>
          <w:tcPr>
            <w:tcW w:w="134" w:type="pct"/>
            <w:shd w:val="clear" w:color="auto" w:fill="auto"/>
            <w:tcMar>
              <w:left w:w="28" w:type="dxa"/>
              <w:right w:w="28" w:type="dxa"/>
            </w:tcMar>
            <w:vAlign w:val="center"/>
          </w:tcPr>
          <w:p w14:paraId="0F2E133B">
            <w:pPr>
              <w:pStyle w:val="14"/>
              <w:keepNext w:val="0"/>
              <w:keepLines w:val="0"/>
              <w:pageBreakBefore w:val="0"/>
              <w:widowControl w:val="0"/>
              <w:numPr>
                <w:ilvl w:val="0"/>
                <w:numId w:val="1"/>
              </w:numPr>
              <w:kinsoku/>
              <w:wordWrap/>
              <w:overflowPunct/>
              <w:topLinePunct w:val="0"/>
              <w:autoSpaceDE/>
              <w:autoSpaceDN/>
              <w:bidi w:val="0"/>
              <w:adjustRightInd w:val="0"/>
              <w:snapToGrid w:val="0"/>
              <w:spacing w:before="79" w:beforeLines="25" w:after="79" w:afterLines="25"/>
              <w:ind w:left="0" w:leftChars="0" w:firstLine="0" w:firstLineChars="0"/>
              <w:jc w:val="center"/>
              <w:textAlignment w:val="auto"/>
              <w:rPr>
                <w:rFonts w:ascii="Times New Roman" w:hAnsi="Times New Roman" w:eastAsia="宋体" w:cs="Times New Roman"/>
                <w:sz w:val="21"/>
                <w:szCs w:val="21"/>
              </w:rPr>
            </w:pPr>
          </w:p>
        </w:tc>
        <w:tc>
          <w:tcPr>
            <w:tcW w:w="606" w:type="dxa"/>
            <w:tcMar>
              <w:left w:w="28" w:type="dxa"/>
              <w:right w:w="28" w:type="dxa"/>
            </w:tcMar>
            <w:vAlign w:val="center"/>
          </w:tcPr>
          <w:p w14:paraId="517928E1">
            <w:pPr>
              <w:keepNext w:val="0"/>
              <w:keepLines w:val="0"/>
              <w:widowControl/>
              <w:suppressLineNumbers w:val="0"/>
              <w:wordWrap/>
              <w:spacing w:line="240" w:lineRule="auto"/>
              <w:jc w:val="left"/>
              <w:textAlignment w:val="center"/>
              <w:rPr>
                <w:rFonts w:ascii="Times New Roman" w:hAnsi="Times New Roman" w:eastAsia="宋体" w:cs="Times New Roman"/>
                <w:sz w:val="21"/>
                <w:szCs w:val="21"/>
              </w:rPr>
            </w:pPr>
            <w:r>
              <w:rPr>
                <w:rFonts w:ascii="宋体" w:hAnsi="宋体" w:eastAsia="宋体" w:cs="宋体"/>
                <w:color w:val="000000"/>
                <w:kern w:val="0"/>
                <w:sz w:val="20"/>
                <w:szCs w:val="20"/>
                <w:lang w:val="en-US" w:eastAsia="zh-CN" w:bidi="ar"/>
              </w:rPr>
              <w:t>智能网联汽车</w:t>
            </w:r>
          </w:p>
        </w:tc>
        <w:tc>
          <w:tcPr>
            <w:tcW w:w="1967" w:type="dxa"/>
            <w:shd w:val="clear" w:color="auto" w:fill="auto"/>
            <w:tcMar>
              <w:left w:w="28" w:type="dxa"/>
              <w:right w:w="28" w:type="dxa"/>
            </w:tcMar>
            <w:vAlign w:val="center"/>
          </w:tcPr>
          <w:p w14:paraId="0DA5BD8C">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国产车规级MCU芯片应用场景表征方法与基准测试规范</w:t>
            </w:r>
          </w:p>
        </w:tc>
        <w:tc>
          <w:tcPr>
            <w:tcW w:w="6343" w:type="dxa"/>
            <w:shd w:val="clear" w:color="auto" w:fill="auto"/>
            <w:tcMar>
              <w:left w:w="28" w:type="dxa"/>
              <w:right w:w="28" w:type="dxa"/>
            </w:tcMar>
            <w:vAlign w:val="center"/>
          </w:tcPr>
          <w:p w14:paraId="79BA00A4">
            <w:pPr>
              <w:keepNext w:val="0"/>
              <w:keepLines w:val="0"/>
              <w:widowControl/>
              <w:suppressLineNumbers w:val="0"/>
              <w:wordWrap/>
              <w:spacing w:line="240" w:lineRule="auto"/>
              <w:jc w:val="left"/>
              <w:textAlignment w:val="center"/>
              <w:rPr>
                <w:rFonts w:ascii="Times New Roman" w:hAnsi="Times New Roman" w:eastAsia="宋体" w:cs="Times New Roman"/>
                <w:sz w:val="21"/>
                <w:szCs w:val="21"/>
              </w:rPr>
            </w:pPr>
            <w:r>
              <w:rPr>
                <w:rFonts w:ascii="宋体" w:hAnsi="宋体" w:eastAsia="宋体" w:cs="宋体"/>
                <w:color w:val="000000"/>
                <w:kern w:val="0"/>
                <w:sz w:val="20"/>
                <w:szCs w:val="20"/>
                <w:lang w:val="en-US" w:eastAsia="zh-CN" w:bidi="ar"/>
              </w:rPr>
              <w:t>研究适配高端车规级控制芯片的整车应用匹配评估关键技术，建立分层式车规级控制芯片整车应用匹配评估软硬件架构，提出覆盖芯片结构、功能、实车工况三维度标准化整车匹配评测流程，研究车规级控制芯片整车应用匹配评估系统硬件单元组成、PXI与MCU间CAN FD、AI/AO/DI/DO信号交互机制，统一基准测试程序编码、用例、日志、报告全流程规范，形成可复用、可第三方认证的芯片整车匹配评估能力，支撑国产高端车规芯片快速迭代与整车批量装车验证。</w:t>
            </w:r>
          </w:p>
        </w:tc>
        <w:tc>
          <w:tcPr>
            <w:tcW w:w="4831" w:type="dxa"/>
            <w:shd w:val="clear" w:color="auto" w:fill="auto"/>
            <w:tcMar>
              <w:left w:w="28" w:type="dxa"/>
              <w:right w:w="28" w:type="dxa"/>
            </w:tcMar>
            <w:vAlign w:val="center"/>
          </w:tcPr>
          <w:p w14:paraId="065A5C4E">
            <w:pPr>
              <w:keepNext w:val="0"/>
              <w:keepLines w:val="0"/>
              <w:widowControl/>
              <w:suppressLineNumbers w:val="0"/>
              <w:wordWrap/>
              <w:spacing w:line="240" w:lineRule="auto"/>
              <w:jc w:val="left"/>
              <w:textAlignment w:val="center"/>
              <w:rPr>
                <w:rFonts w:ascii="Times New Roman" w:hAnsi="Times New Roman" w:eastAsia="宋体" w:cs="Times New Roman"/>
                <w:sz w:val="21"/>
                <w:szCs w:val="21"/>
              </w:rPr>
            </w:pPr>
            <w:r>
              <w:rPr>
                <w:rFonts w:ascii="宋体" w:hAnsi="宋体" w:eastAsia="宋体" w:cs="宋体"/>
                <w:color w:val="000000"/>
                <w:kern w:val="0"/>
                <w:sz w:val="20"/>
                <w:szCs w:val="20"/>
                <w:lang w:val="en-US" w:eastAsia="zh-CN" w:bidi="ar"/>
              </w:rPr>
              <w:t>1、完成车规级控制芯片整车应用匹配评估研究报告1份，报告至少包含以下内容：</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（1）车规级控制芯片整车应用匹配评估架构；</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（2）车规级控制芯片整车应用匹配评估指标设置和评分规则；</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（3）车规级控制芯片整车应用匹配评估维度分解和权重；</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2、不少于1篇SCI或EI论文（受理或发表）。</w:t>
            </w:r>
          </w:p>
        </w:tc>
        <w:tc>
          <w:tcPr>
            <w:tcW w:w="271" w:type="pct"/>
            <w:shd w:val="clear" w:color="auto" w:fill="auto"/>
            <w:tcMar>
              <w:left w:w="28" w:type="dxa"/>
              <w:right w:w="28" w:type="dxa"/>
            </w:tcMar>
            <w:vAlign w:val="center"/>
          </w:tcPr>
          <w:p w14:paraId="2AD592A5">
            <w:pPr>
              <w:keepNext w:val="0"/>
              <w:keepLines w:val="0"/>
              <w:pageBreakBefore w:val="0"/>
              <w:widowControl/>
              <w:suppressLineNumbers w:val="0"/>
              <w:kinsoku/>
              <w:wordWrap/>
              <w:overflowPunct/>
              <w:topLinePunct w:val="0"/>
              <w:autoSpaceDE/>
              <w:autoSpaceDN/>
              <w:bidi w:val="0"/>
              <w:snapToGrid w:val="0"/>
              <w:spacing w:before="79" w:beforeLines="25" w:after="79" w:afterLines="25"/>
              <w:jc w:val="center"/>
              <w:textAlignment w:val="top"/>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w:t>
            </w:r>
          </w:p>
        </w:tc>
      </w:tr>
      <w:tr w14:paraId="7A6A971A">
        <w:trPr>
          <w:jc w:val="center"/>
        </w:trPr>
        <w:tc>
          <w:tcPr>
            <w:tcW w:w="134" w:type="pct"/>
            <w:shd w:val="clear" w:color="auto" w:fill="auto"/>
            <w:tcMar>
              <w:left w:w="28" w:type="dxa"/>
              <w:right w:w="28" w:type="dxa"/>
            </w:tcMar>
            <w:vAlign w:val="center"/>
          </w:tcPr>
          <w:p w14:paraId="2F237410">
            <w:pPr>
              <w:pStyle w:val="14"/>
              <w:keepNext w:val="0"/>
              <w:keepLines w:val="0"/>
              <w:pageBreakBefore w:val="0"/>
              <w:widowControl w:val="0"/>
              <w:numPr>
                <w:ilvl w:val="0"/>
                <w:numId w:val="1"/>
              </w:numPr>
              <w:kinsoku/>
              <w:wordWrap/>
              <w:overflowPunct/>
              <w:topLinePunct w:val="0"/>
              <w:autoSpaceDE/>
              <w:autoSpaceDN/>
              <w:bidi w:val="0"/>
              <w:adjustRightInd w:val="0"/>
              <w:snapToGrid w:val="0"/>
              <w:spacing w:before="79" w:beforeLines="25" w:after="79" w:afterLines="25"/>
              <w:ind w:left="0" w:leftChars="0" w:firstLine="0" w:firstLineChars="0"/>
              <w:jc w:val="center"/>
              <w:textAlignment w:val="auto"/>
              <w:rPr>
                <w:rFonts w:ascii="Times New Roman" w:hAnsi="Times New Roman" w:eastAsia="宋体" w:cs="Times New Roman"/>
                <w:sz w:val="21"/>
                <w:szCs w:val="21"/>
              </w:rPr>
            </w:pPr>
          </w:p>
        </w:tc>
        <w:tc>
          <w:tcPr>
            <w:tcW w:w="606" w:type="dxa"/>
            <w:tcMar>
              <w:left w:w="28" w:type="dxa"/>
              <w:right w:w="28" w:type="dxa"/>
            </w:tcMar>
            <w:vAlign w:val="center"/>
          </w:tcPr>
          <w:p w14:paraId="2CC5F75D">
            <w:pPr>
              <w:keepNext w:val="0"/>
              <w:keepLines w:val="0"/>
              <w:widowControl/>
              <w:suppressLineNumbers w:val="0"/>
              <w:wordWrap/>
              <w:spacing w:line="240" w:lineRule="auto"/>
              <w:jc w:val="left"/>
              <w:textAlignment w:val="center"/>
              <w:rPr>
                <w:rFonts w:ascii="Times New Roman" w:hAnsi="Times New Roman" w:eastAsia="宋体" w:cs="Times New Roman"/>
                <w:sz w:val="21"/>
                <w:szCs w:val="21"/>
              </w:rPr>
            </w:pPr>
            <w:r>
              <w:rPr>
                <w:rFonts w:ascii="宋体" w:hAnsi="宋体" w:eastAsia="宋体" w:cs="宋体"/>
                <w:color w:val="000000"/>
                <w:kern w:val="0"/>
                <w:sz w:val="20"/>
                <w:szCs w:val="20"/>
                <w:lang w:val="en-US" w:eastAsia="zh-CN" w:bidi="ar"/>
              </w:rPr>
              <w:t>智能网联汽车</w:t>
            </w:r>
          </w:p>
        </w:tc>
        <w:tc>
          <w:tcPr>
            <w:tcW w:w="1967" w:type="dxa"/>
            <w:shd w:val="clear" w:color="auto" w:fill="auto"/>
            <w:tcMar>
              <w:left w:w="28" w:type="dxa"/>
              <w:right w:w="28" w:type="dxa"/>
            </w:tcMar>
            <w:vAlign w:val="center"/>
          </w:tcPr>
          <w:p w14:paraId="42EE43A0">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智能网联汽车软件供应链中恶意组件风险识别研究</w:t>
            </w:r>
          </w:p>
        </w:tc>
        <w:tc>
          <w:tcPr>
            <w:tcW w:w="6343" w:type="dxa"/>
            <w:shd w:val="clear" w:color="auto" w:fill="auto"/>
            <w:tcMar>
              <w:left w:w="28" w:type="dxa"/>
              <w:right w:w="28" w:type="dxa"/>
            </w:tcMar>
            <w:vAlign w:val="center"/>
          </w:tcPr>
          <w:p w14:paraId="576FCC82">
            <w:pPr>
              <w:keepNext w:val="0"/>
              <w:keepLines w:val="0"/>
              <w:widowControl/>
              <w:suppressLineNumbers w:val="0"/>
              <w:wordWrap/>
              <w:spacing w:line="240" w:lineRule="auto"/>
              <w:jc w:val="left"/>
              <w:textAlignment w:val="center"/>
              <w:rPr>
                <w:rFonts w:ascii="Times New Roman" w:hAnsi="Times New Roman" w:eastAsia="宋体" w:cs="Times New Roman"/>
                <w:sz w:val="21"/>
                <w:szCs w:val="21"/>
              </w:rPr>
            </w:pPr>
            <w:r>
              <w:rPr>
                <w:rFonts w:ascii="宋体" w:hAnsi="宋体" w:eastAsia="宋体" w:cs="宋体"/>
                <w:color w:val="000000"/>
                <w:kern w:val="0"/>
                <w:sz w:val="20"/>
                <w:szCs w:val="20"/>
                <w:lang w:val="en-US" w:eastAsia="zh-CN" w:bidi="ar"/>
              </w:rPr>
              <w:t>针对 PyPI、NPM 开源生态恶意组件频发的安全风险，围绕恶意组件识别、判定、结果输出与行业应用四大核心问题开展研究，服务智能网联汽车等高安全行业软件供应链安全治理。项目系统梳理开源生态典型恶意攻击类型与行为特征，厘清组件全流程传播风险。依托组件元数据、代码语义、敏感接口调用、网络行为等多源信息，构建高精度检测方法，有效改善传统检测误报、漏报问题。同时搭建覆盖多类攻击场景的恶意组件样例集与风险标签体系，形成标准化基础数据。项目将凝练风险判定规则与处置规范，输出可落地的检测建议与行业标准化技术指南，为汽车软件供应链安全自查、测评及相关标准编制提供技术储备。</w:t>
            </w:r>
          </w:p>
        </w:tc>
        <w:tc>
          <w:tcPr>
            <w:tcW w:w="4831" w:type="dxa"/>
            <w:shd w:val="clear" w:color="auto" w:fill="auto"/>
            <w:tcMar>
              <w:left w:w="28" w:type="dxa"/>
              <w:right w:w="28" w:type="dxa"/>
            </w:tcMar>
            <w:vAlign w:val="center"/>
          </w:tcPr>
          <w:p w14:paraId="63340ECF">
            <w:pPr>
              <w:keepNext w:val="0"/>
              <w:keepLines w:val="0"/>
              <w:widowControl/>
              <w:suppressLineNumbers w:val="0"/>
              <w:wordWrap/>
              <w:spacing w:line="240" w:lineRule="auto"/>
              <w:jc w:val="left"/>
              <w:textAlignment w:val="center"/>
              <w:rPr>
                <w:rFonts w:ascii="Times New Roman" w:hAnsi="Times New Roman" w:eastAsia="宋体" w:cs="Times New Roman"/>
                <w:sz w:val="21"/>
                <w:szCs w:val="21"/>
              </w:rPr>
            </w:pPr>
            <w:r>
              <w:rPr>
                <w:rFonts w:ascii="宋体" w:hAnsi="宋体" w:eastAsia="宋体" w:cs="宋体"/>
                <w:color w:val="000000"/>
                <w:kern w:val="0"/>
                <w:sz w:val="20"/>
                <w:szCs w:val="20"/>
                <w:lang w:val="en-US" w:eastAsia="zh-CN" w:bidi="ar"/>
              </w:rPr>
              <w:t>1. 完成智能网联汽车软件供应链中恶意组件识别与分析技术研究报告1份，报告至少包含以下内容：</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（1） 恶意组件典型攻击行为与意图标签化梳理研究</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 恶意组件自动化识别方法研究</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（3）pypi与npm生态恶意组件生态趋势研究</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 在主流网络安全或软件工程领域会议上发表论文一篇</w:t>
            </w:r>
          </w:p>
        </w:tc>
        <w:tc>
          <w:tcPr>
            <w:tcW w:w="271" w:type="pct"/>
            <w:shd w:val="clear" w:color="auto" w:fill="auto"/>
            <w:tcMar>
              <w:left w:w="28" w:type="dxa"/>
              <w:right w:w="28" w:type="dxa"/>
            </w:tcMar>
            <w:vAlign w:val="center"/>
          </w:tcPr>
          <w:p w14:paraId="6CB057CB">
            <w:pPr>
              <w:keepNext w:val="0"/>
              <w:keepLines w:val="0"/>
              <w:pageBreakBefore w:val="0"/>
              <w:widowControl/>
              <w:suppressLineNumbers w:val="0"/>
              <w:kinsoku/>
              <w:wordWrap/>
              <w:overflowPunct/>
              <w:topLinePunct w:val="0"/>
              <w:autoSpaceDE/>
              <w:autoSpaceDN/>
              <w:bidi w:val="0"/>
              <w:snapToGrid w:val="0"/>
              <w:spacing w:before="79" w:beforeLines="25" w:after="79" w:afterLines="25"/>
              <w:jc w:val="center"/>
              <w:textAlignment w:val="top"/>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w:t>
            </w:r>
          </w:p>
        </w:tc>
      </w:tr>
      <w:tr w14:paraId="527A93C8">
        <w:trPr>
          <w:trHeight w:val="2711" w:hRule="atLeast"/>
          <w:jc w:val="center"/>
        </w:trPr>
        <w:tc>
          <w:tcPr>
            <w:tcW w:w="134" w:type="pct"/>
            <w:shd w:val="clear" w:color="auto" w:fill="auto"/>
            <w:tcMar>
              <w:left w:w="28" w:type="dxa"/>
              <w:right w:w="28" w:type="dxa"/>
            </w:tcMar>
            <w:vAlign w:val="center"/>
          </w:tcPr>
          <w:p w14:paraId="36ECBF60">
            <w:pPr>
              <w:pStyle w:val="14"/>
              <w:keepNext w:val="0"/>
              <w:keepLines w:val="0"/>
              <w:pageBreakBefore w:val="0"/>
              <w:widowControl w:val="0"/>
              <w:numPr>
                <w:ilvl w:val="0"/>
                <w:numId w:val="1"/>
              </w:numPr>
              <w:kinsoku/>
              <w:wordWrap/>
              <w:overflowPunct/>
              <w:topLinePunct w:val="0"/>
              <w:autoSpaceDE/>
              <w:autoSpaceDN/>
              <w:bidi w:val="0"/>
              <w:adjustRightInd w:val="0"/>
              <w:snapToGrid w:val="0"/>
              <w:spacing w:before="79" w:beforeLines="25" w:after="79" w:afterLines="25"/>
              <w:ind w:left="0" w:leftChars="0" w:firstLine="0" w:firstLineChars="0"/>
              <w:jc w:val="center"/>
              <w:textAlignment w:val="auto"/>
              <w:rPr>
                <w:rFonts w:ascii="Times New Roman" w:hAnsi="Times New Roman" w:eastAsia="宋体" w:cs="Times New Roman"/>
                <w:sz w:val="21"/>
                <w:szCs w:val="21"/>
              </w:rPr>
            </w:pPr>
          </w:p>
        </w:tc>
        <w:tc>
          <w:tcPr>
            <w:tcW w:w="606" w:type="dxa"/>
            <w:tcMar>
              <w:left w:w="28" w:type="dxa"/>
              <w:right w:w="28" w:type="dxa"/>
            </w:tcMar>
            <w:vAlign w:val="center"/>
          </w:tcPr>
          <w:p w14:paraId="0698B9FB">
            <w:pPr>
              <w:keepNext w:val="0"/>
              <w:keepLines w:val="0"/>
              <w:widowControl/>
              <w:suppressLineNumbers w:val="0"/>
              <w:wordWrap/>
              <w:spacing w:line="240" w:lineRule="auto"/>
              <w:jc w:val="left"/>
              <w:textAlignment w:val="center"/>
              <w:rPr>
                <w:rFonts w:ascii="Times New Roman" w:hAnsi="Times New Roman" w:eastAsia="宋体" w:cs="Times New Roman"/>
                <w:sz w:val="21"/>
                <w:szCs w:val="21"/>
              </w:rPr>
            </w:pPr>
            <w:r>
              <w:rPr>
                <w:rFonts w:ascii="宋体" w:hAnsi="宋体" w:eastAsia="宋体" w:cs="宋体"/>
                <w:color w:val="000000"/>
                <w:kern w:val="0"/>
                <w:sz w:val="20"/>
                <w:szCs w:val="20"/>
                <w:lang w:val="en-US" w:eastAsia="zh-CN" w:bidi="ar"/>
              </w:rPr>
              <w:t>智能网联汽车</w:t>
            </w:r>
          </w:p>
        </w:tc>
        <w:tc>
          <w:tcPr>
            <w:tcW w:w="1967" w:type="dxa"/>
            <w:shd w:val="clear" w:color="auto" w:fill="auto"/>
            <w:tcMar>
              <w:left w:w="28" w:type="dxa"/>
              <w:right w:w="28" w:type="dxa"/>
            </w:tcMar>
            <w:vAlign w:val="center"/>
          </w:tcPr>
          <w:p w14:paraId="71029D84">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高度自动驾驶车辆运营管理异常事件处置及远程运营接口标准化研究</w:t>
            </w:r>
          </w:p>
        </w:tc>
        <w:tc>
          <w:tcPr>
            <w:tcW w:w="6343" w:type="dxa"/>
            <w:shd w:val="clear" w:color="auto" w:fill="auto"/>
            <w:tcMar>
              <w:left w:w="28" w:type="dxa"/>
              <w:right w:w="28" w:type="dxa"/>
            </w:tcMar>
            <w:vAlign w:val="center"/>
          </w:tcPr>
          <w:p w14:paraId="0A331B55">
            <w:pPr>
              <w:keepNext w:val="0"/>
              <w:keepLines w:val="0"/>
              <w:widowControl/>
              <w:suppressLineNumbers w:val="0"/>
              <w:wordWrap/>
              <w:spacing w:line="240" w:lineRule="auto"/>
              <w:jc w:val="left"/>
              <w:textAlignment w:val="center"/>
              <w:rPr>
                <w:rFonts w:ascii="Times New Roman" w:hAnsi="Times New Roman" w:eastAsia="宋体" w:cs="Times New Roman"/>
                <w:sz w:val="21"/>
                <w:szCs w:val="21"/>
              </w:rPr>
            </w:pPr>
            <w:r>
              <w:rPr>
                <w:rFonts w:ascii="宋体" w:hAnsi="宋体" w:eastAsia="宋体" w:cs="宋体"/>
                <w:color w:val="000000"/>
                <w:kern w:val="0"/>
                <w:sz w:val="20"/>
                <w:szCs w:val="20"/>
                <w:lang w:val="en-US" w:eastAsia="zh-CN" w:bidi="ar"/>
              </w:rPr>
              <w:t>针对高度自动驾驶车辆运行阶段远程运营与异常事件处置需求，构建适配标准研究与示范运营的最小技术框架。依托现有ODC/ODD分级成果，将车辆运行条件边界转化为异常触发、远程介入、协同处置与证据闭环的标准化要求，支撑自动驾驶规模化安全运营。项目调研梳理了国内外远程运营、远程驾驶、事件处置相关标准与实践，明确课题相关技术边界。面向多类自动驾驶运营场景，建立运营模式与异常事件分类分级体系与处置触发逻辑，搭建全流程异常处置架构，明确车端自主处置与远程介入层级关系，界定远程运营的能力边界。同时构建责任矩阵、FRIP机制和数据KPI规范，通过典型异常场景桌面推演与适用性验证，形成标准化案例库与验证模板，为自动驾驶运营标准研制和落地应用提供技术支撑。</w:t>
            </w:r>
          </w:p>
        </w:tc>
        <w:tc>
          <w:tcPr>
            <w:tcW w:w="4831" w:type="dxa"/>
            <w:shd w:val="clear" w:color="auto" w:fill="auto"/>
            <w:tcMar>
              <w:left w:w="28" w:type="dxa"/>
              <w:right w:w="28" w:type="dxa"/>
            </w:tcMar>
            <w:vAlign w:val="center"/>
          </w:tcPr>
          <w:p w14:paraId="12AC92DD">
            <w:pPr>
              <w:keepNext w:val="0"/>
              <w:keepLines w:val="0"/>
              <w:widowControl/>
              <w:suppressLineNumbers w:val="0"/>
              <w:wordWrap/>
              <w:spacing w:line="240" w:lineRule="auto"/>
              <w:jc w:val="left"/>
              <w:textAlignment w:val="center"/>
              <w:rPr>
                <w:rFonts w:ascii="Times New Roman" w:hAnsi="Times New Roman" w:eastAsia="宋体" w:cs="Times New Roman"/>
                <w:sz w:val="21"/>
                <w:szCs w:val="21"/>
              </w:rPr>
            </w:pPr>
            <w:r>
              <w:rPr>
                <w:rFonts w:ascii="宋体" w:hAnsi="宋体" w:eastAsia="宋体" w:cs="宋体"/>
                <w:color w:val="000000"/>
                <w:kern w:val="0"/>
                <w:sz w:val="20"/>
                <w:szCs w:val="20"/>
                <w:lang w:val="en-US" w:eastAsia="zh-CN" w:bidi="ar"/>
              </w:rPr>
              <w:t>1. 完成高度自动驾驶车辆运营管理异常事件处置及远程运营接口标准化研究报告1份，报告至少包含以下内容：</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（1）高度自动驾驶车辆运营异常事件库1套；</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（2）异常事件分类与分级建议1套。</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 SCI高水平学术论文1篇。</w:t>
            </w:r>
          </w:p>
        </w:tc>
        <w:tc>
          <w:tcPr>
            <w:tcW w:w="271" w:type="pct"/>
            <w:shd w:val="clear" w:color="auto" w:fill="auto"/>
            <w:tcMar>
              <w:left w:w="28" w:type="dxa"/>
              <w:right w:w="28" w:type="dxa"/>
            </w:tcMar>
            <w:vAlign w:val="center"/>
          </w:tcPr>
          <w:p w14:paraId="0D8987AC">
            <w:pPr>
              <w:keepNext w:val="0"/>
              <w:keepLines w:val="0"/>
              <w:pageBreakBefore w:val="0"/>
              <w:widowControl/>
              <w:suppressLineNumbers w:val="0"/>
              <w:kinsoku/>
              <w:wordWrap/>
              <w:overflowPunct/>
              <w:topLinePunct w:val="0"/>
              <w:autoSpaceDE/>
              <w:autoSpaceDN/>
              <w:bidi w:val="0"/>
              <w:snapToGrid w:val="0"/>
              <w:spacing w:before="79" w:beforeLines="25" w:after="79" w:afterLines="25"/>
              <w:jc w:val="center"/>
              <w:textAlignment w:val="top"/>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w:t>
            </w:r>
          </w:p>
        </w:tc>
      </w:tr>
      <w:tr w14:paraId="20CBC250">
        <w:trPr>
          <w:trHeight w:val="1540" w:hRule="atLeast"/>
          <w:jc w:val="center"/>
        </w:trPr>
        <w:tc>
          <w:tcPr>
            <w:tcW w:w="134" w:type="pct"/>
            <w:shd w:val="clear" w:color="auto" w:fill="auto"/>
            <w:tcMar>
              <w:left w:w="28" w:type="dxa"/>
              <w:right w:w="28" w:type="dxa"/>
            </w:tcMar>
            <w:vAlign w:val="center"/>
          </w:tcPr>
          <w:p w14:paraId="78531CDD">
            <w:pPr>
              <w:pStyle w:val="14"/>
              <w:keepNext w:val="0"/>
              <w:keepLines w:val="0"/>
              <w:pageBreakBefore w:val="0"/>
              <w:widowControl w:val="0"/>
              <w:numPr>
                <w:ilvl w:val="0"/>
                <w:numId w:val="1"/>
              </w:numPr>
              <w:kinsoku/>
              <w:wordWrap/>
              <w:overflowPunct/>
              <w:topLinePunct w:val="0"/>
              <w:autoSpaceDE/>
              <w:autoSpaceDN/>
              <w:bidi w:val="0"/>
              <w:adjustRightInd w:val="0"/>
              <w:snapToGrid w:val="0"/>
              <w:spacing w:before="79" w:beforeLines="25" w:after="79" w:afterLines="25"/>
              <w:ind w:left="0" w:leftChars="0" w:firstLine="0" w:firstLineChars="0"/>
              <w:jc w:val="center"/>
              <w:textAlignment w:val="auto"/>
              <w:rPr>
                <w:rFonts w:ascii="Times New Roman" w:hAnsi="Times New Roman" w:eastAsia="宋体" w:cs="Times New Roman"/>
                <w:sz w:val="21"/>
                <w:szCs w:val="21"/>
              </w:rPr>
            </w:pPr>
          </w:p>
        </w:tc>
        <w:tc>
          <w:tcPr>
            <w:tcW w:w="606" w:type="dxa"/>
            <w:tcMar>
              <w:left w:w="28" w:type="dxa"/>
              <w:right w:w="28" w:type="dxa"/>
            </w:tcMar>
            <w:vAlign w:val="center"/>
          </w:tcPr>
          <w:p w14:paraId="371CB970">
            <w:pPr>
              <w:keepNext w:val="0"/>
              <w:keepLines w:val="0"/>
              <w:widowControl/>
              <w:suppressLineNumbers w:val="0"/>
              <w:wordWrap/>
              <w:spacing w:line="240" w:lineRule="auto"/>
              <w:jc w:val="left"/>
              <w:textAlignment w:val="center"/>
              <w:rPr>
                <w:rFonts w:ascii="Times New Roman" w:hAnsi="Times New Roman" w:eastAsia="宋体" w:cs="Times New Roman"/>
                <w:sz w:val="21"/>
                <w:szCs w:val="21"/>
              </w:rPr>
            </w:pPr>
            <w:r>
              <w:rPr>
                <w:rFonts w:ascii="宋体" w:hAnsi="宋体" w:eastAsia="宋体" w:cs="宋体"/>
                <w:color w:val="000000"/>
                <w:kern w:val="0"/>
                <w:sz w:val="20"/>
                <w:szCs w:val="20"/>
                <w:lang w:val="en-US" w:eastAsia="zh-CN" w:bidi="ar"/>
              </w:rPr>
              <w:t>智能网联汽车</w:t>
            </w:r>
          </w:p>
        </w:tc>
        <w:tc>
          <w:tcPr>
            <w:tcW w:w="1967" w:type="dxa"/>
            <w:shd w:val="clear" w:color="auto" w:fill="auto"/>
            <w:tcMar>
              <w:left w:w="28" w:type="dxa"/>
              <w:right w:w="28" w:type="dxa"/>
            </w:tcMar>
            <w:vAlign w:val="center"/>
          </w:tcPr>
          <w:p w14:paraId="3355631C">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无人物流车随车具身智能装卸装置专项标准</w:t>
            </w:r>
          </w:p>
        </w:tc>
        <w:tc>
          <w:tcPr>
            <w:tcW w:w="6343" w:type="dxa"/>
            <w:shd w:val="clear" w:color="auto" w:fill="auto"/>
            <w:tcMar>
              <w:left w:w="28" w:type="dxa"/>
              <w:right w:w="28" w:type="dxa"/>
            </w:tcMar>
            <w:vAlign w:val="center"/>
          </w:tcPr>
          <w:p w14:paraId="64377862">
            <w:pPr>
              <w:keepNext w:val="0"/>
              <w:keepLines w:val="0"/>
              <w:widowControl/>
              <w:suppressLineNumbers w:val="0"/>
              <w:wordWrap/>
              <w:spacing w:line="240" w:lineRule="auto"/>
              <w:jc w:val="left"/>
              <w:textAlignment w:val="center"/>
              <w:rPr>
                <w:rFonts w:ascii="Times New Roman" w:hAnsi="Times New Roman" w:eastAsia="宋体" w:cs="Times New Roman"/>
                <w:sz w:val="21"/>
                <w:szCs w:val="21"/>
              </w:rPr>
            </w:pPr>
            <w:r>
              <w:rPr>
                <w:rFonts w:ascii="宋体" w:hAnsi="宋体" w:eastAsia="宋体" w:cs="宋体"/>
                <w:color w:val="000000"/>
                <w:kern w:val="0"/>
                <w:sz w:val="20"/>
                <w:szCs w:val="20"/>
                <w:lang w:val="en-US" w:eastAsia="zh-CN" w:bidi="ar"/>
              </w:rPr>
              <w:t>方向一：随车具身智能装卸机器人整机与核心部件</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研究目标应聚焦于“车-臂-手”一体化设计，解决无人车在非结构化场景下的自主装卸难题。具体包括：研发紧凑型多自由度执行末端，使其能够在车厢内部等狭窄空间内完成抓取、推移、码放等操作；开发轻量化、高刚性的整机结构，确保机器人能够随车部署而不显著侵占载货空间。车载感知与决策控制系统需实现“停稳即卸、卸完即走”的自主作业闭环，降低对人工干预的依赖。</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方向二：智能上装与车机协同</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研究目标是实现上装装备从“独立液压驱动”向“电驱动集成控制”的升级，并打通上装系统与底盘、无人驾驶系统之间的数据链路。重点在于开发标准化车机通信协议，使上装作业指令（如货叉升降、夹具开合）能够由自动驾驶域控制器统一调度，而非依赖独立遥控器。同时，研究上装执行机构在无人车怠速、启停等工况下的能耗优化策略。</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方向三：场景解决方案与云控数字孪生平台</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研究目标是为无人物流车装卸场景提供“端-边-云”一体化的调度与监控能力。云控平台需具备对多车、多装卸点的实时状态监控与任务编排功能，数字孪生模块应能模拟不同装卸策略下的效率与安全表现，辅助运营方进行运力配置。场景解决方案则需覆盖社区配送、园区转运、驿站接驳等典型场景的差异化需求。</w:t>
            </w:r>
          </w:p>
        </w:tc>
        <w:tc>
          <w:tcPr>
            <w:tcW w:w="4831" w:type="dxa"/>
            <w:shd w:val="clear" w:color="auto" w:fill="auto"/>
            <w:tcMar>
              <w:left w:w="28" w:type="dxa"/>
              <w:right w:w="28" w:type="dxa"/>
            </w:tcMar>
            <w:vAlign w:val="center"/>
          </w:tcPr>
          <w:p w14:paraId="7E442B29">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1、完成《无人物流车随车具身智能装卸技术白皮书》，内容涵盖：随车装卸的技术路线对比（液压/电驱/混动）、典型场景作业效率基准、车机协同接口协议建议等。</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完成《社区配送/园区转运场景装卸机器人作业效能评估报告》。根据实测框架，覆盖车辆停靠偏差容限（如路端感知将货车边界标定误差压缩至约0.10米）、末端对位精度（1–2厘米级实时修正）等可量化指标。评估维度包括：单次装卸时间、作业成功率、人工干预频次、能耗对比。</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3、完成《物流无人车随车智能装卸系统通用技术条件（建议稿）》，涵盖机械接口、电气接口、通信协议、安全冗余要求等。</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4、课题相关论文或者专利3篇。</w:t>
            </w:r>
          </w:p>
        </w:tc>
        <w:tc>
          <w:tcPr>
            <w:tcW w:w="271" w:type="pct"/>
            <w:shd w:val="clear" w:color="auto" w:fill="auto"/>
            <w:tcMar>
              <w:left w:w="28" w:type="dxa"/>
              <w:right w:w="28" w:type="dxa"/>
            </w:tcMar>
            <w:vAlign w:val="center"/>
          </w:tcPr>
          <w:p w14:paraId="27E9A5A0">
            <w:pPr>
              <w:keepNext w:val="0"/>
              <w:keepLines w:val="0"/>
              <w:pageBreakBefore w:val="0"/>
              <w:widowControl/>
              <w:suppressLineNumbers w:val="0"/>
              <w:kinsoku/>
              <w:wordWrap/>
              <w:overflowPunct/>
              <w:topLinePunct w:val="0"/>
              <w:autoSpaceDE/>
              <w:autoSpaceDN/>
              <w:bidi w:val="0"/>
              <w:snapToGrid w:val="0"/>
              <w:spacing w:before="79" w:beforeLines="25" w:after="79" w:afterLines="25"/>
              <w:jc w:val="center"/>
              <w:textAlignment w:val="top"/>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w:t>
            </w:r>
          </w:p>
        </w:tc>
      </w:tr>
      <w:tr w14:paraId="70DF1AD4">
        <w:trPr>
          <w:jc w:val="center"/>
        </w:trPr>
        <w:tc>
          <w:tcPr>
            <w:tcW w:w="134" w:type="pct"/>
            <w:shd w:val="clear" w:color="auto" w:fill="auto"/>
            <w:tcMar>
              <w:left w:w="28" w:type="dxa"/>
              <w:right w:w="28" w:type="dxa"/>
            </w:tcMar>
            <w:vAlign w:val="center"/>
          </w:tcPr>
          <w:p w14:paraId="26B56C4F">
            <w:pPr>
              <w:pStyle w:val="14"/>
              <w:keepNext w:val="0"/>
              <w:keepLines w:val="0"/>
              <w:pageBreakBefore w:val="0"/>
              <w:widowControl w:val="0"/>
              <w:numPr>
                <w:ilvl w:val="0"/>
                <w:numId w:val="1"/>
              </w:numPr>
              <w:kinsoku/>
              <w:wordWrap/>
              <w:overflowPunct/>
              <w:topLinePunct w:val="0"/>
              <w:autoSpaceDE/>
              <w:autoSpaceDN/>
              <w:bidi w:val="0"/>
              <w:adjustRightInd w:val="0"/>
              <w:snapToGrid w:val="0"/>
              <w:spacing w:before="79" w:beforeLines="25" w:after="79" w:afterLines="25"/>
              <w:ind w:left="0" w:leftChars="0" w:firstLine="0" w:firstLineChars="0"/>
              <w:jc w:val="center"/>
              <w:textAlignment w:val="auto"/>
              <w:rPr>
                <w:rFonts w:ascii="Times New Roman" w:hAnsi="Times New Roman" w:eastAsia="宋体" w:cs="Times New Roman"/>
                <w:sz w:val="21"/>
                <w:szCs w:val="21"/>
              </w:rPr>
            </w:pPr>
          </w:p>
        </w:tc>
        <w:tc>
          <w:tcPr>
            <w:tcW w:w="606" w:type="dxa"/>
            <w:tcMar>
              <w:left w:w="28" w:type="dxa"/>
              <w:right w:w="28" w:type="dxa"/>
            </w:tcMar>
            <w:vAlign w:val="center"/>
          </w:tcPr>
          <w:p w14:paraId="6737D7EF">
            <w:pPr>
              <w:keepNext w:val="0"/>
              <w:keepLines w:val="0"/>
              <w:widowControl/>
              <w:suppressLineNumbers w:val="0"/>
              <w:wordWrap/>
              <w:spacing w:line="240" w:lineRule="auto"/>
              <w:jc w:val="left"/>
              <w:textAlignment w:val="center"/>
              <w:rPr>
                <w:rFonts w:hint="eastAsia" w:ascii="Times New Roman" w:hAnsi="Times New Roman" w:eastAsia="宋体" w:cs="Times New Roman"/>
                <w:sz w:val="21"/>
                <w:szCs w:val="21"/>
                <w:lang w:val="en-US" w:eastAsia="zh-CN"/>
              </w:rPr>
            </w:pPr>
            <w:r>
              <w:rPr>
                <w:rFonts w:ascii="宋体" w:hAnsi="宋体" w:eastAsia="宋体" w:cs="宋体"/>
                <w:color w:val="000000"/>
                <w:kern w:val="0"/>
                <w:sz w:val="20"/>
                <w:szCs w:val="20"/>
                <w:lang w:val="en-US" w:eastAsia="zh-CN" w:bidi="ar"/>
              </w:rPr>
              <w:t>绿色低碳</w:t>
            </w:r>
          </w:p>
        </w:tc>
        <w:tc>
          <w:tcPr>
            <w:tcW w:w="1967" w:type="dxa"/>
            <w:shd w:val="clear" w:color="auto" w:fill="auto"/>
            <w:tcMar>
              <w:left w:w="28" w:type="dxa"/>
              <w:right w:w="28" w:type="dxa"/>
            </w:tcMar>
            <w:vAlign w:val="center"/>
          </w:tcPr>
          <w:p w14:paraId="2922A68B">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电动汽车自动充电国内外标准体系与关键技术对标研究</w:t>
            </w:r>
          </w:p>
        </w:tc>
        <w:tc>
          <w:tcPr>
            <w:tcW w:w="6343" w:type="dxa"/>
            <w:shd w:val="clear" w:color="auto" w:fill="auto"/>
            <w:tcMar>
              <w:left w:w="28" w:type="dxa"/>
              <w:right w:w="28" w:type="dxa"/>
            </w:tcMar>
            <w:vAlign w:val="center"/>
          </w:tcPr>
          <w:p w14:paraId="20BF959D">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围绕电动汽车自动充电标准化建设开展系统性研究。一是开展全球自动充电标准体系梳理，收集IEC、ISO、SAE及欧盟、日韩、国内相关现行及在研标准，从机械对接、电气安全、车桩通信、功能安全、信息安全、试验检测六个维度搭建标准框架，梳理标准空白与条款冲突内容。二是开展中外关键技术条款对标分析，针对对接尺寸、定位容错、高压联锁、环境可靠性、V2G交互、信息安全等核心指标逐条比对，明确中外标准差异与核心分歧。三是兼顾机械臂侧充、底盘自动对接、无线充电主流技术路线，结合国内应用经验，提出具备通用性、可适配产业发展的统一技术指标建议。四是推进研究成果落地转化，编制国内标准立项材料、国际标准提案及行业研究报告，为自动充电领域标准制修订提供完整技术支撑。</w:t>
            </w:r>
          </w:p>
        </w:tc>
        <w:tc>
          <w:tcPr>
            <w:tcW w:w="4831" w:type="dxa"/>
            <w:shd w:val="clear" w:color="auto" w:fill="auto"/>
            <w:tcMar>
              <w:left w:w="28" w:type="dxa"/>
              <w:right w:w="28" w:type="dxa"/>
            </w:tcMar>
            <w:vAlign w:val="center"/>
          </w:tcPr>
          <w:p w14:paraId="25D5D8AF">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1.完成电动汽车自动充电国内外标准体系与关键技术对标研究报告1份，报告至少包含以下内容：</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（1）国际标准体系详细分析，国内现有标准体系对自动充电的限制约束条款分析；</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（2）自动充电国内外技术路线对比分析；</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（3）提出适合我国未来发展趋势的自动充电技术路线及标准路线图。</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2.在《中国汽车》期刊上发表1篇论文。</w:t>
            </w:r>
          </w:p>
        </w:tc>
        <w:tc>
          <w:tcPr>
            <w:tcW w:w="271" w:type="pct"/>
            <w:shd w:val="clear" w:color="auto" w:fill="auto"/>
            <w:tcMar>
              <w:left w:w="28" w:type="dxa"/>
              <w:right w:w="28" w:type="dxa"/>
            </w:tcMar>
            <w:vAlign w:val="center"/>
          </w:tcPr>
          <w:p w14:paraId="6627842C">
            <w:pPr>
              <w:keepNext w:val="0"/>
              <w:keepLines w:val="0"/>
              <w:pageBreakBefore w:val="0"/>
              <w:widowControl/>
              <w:suppressLineNumbers w:val="0"/>
              <w:kinsoku/>
              <w:wordWrap/>
              <w:overflowPunct/>
              <w:topLinePunct w:val="0"/>
              <w:autoSpaceDE/>
              <w:autoSpaceDN/>
              <w:bidi w:val="0"/>
              <w:snapToGrid w:val="0"/>
              <w:spacing w:before="79" w:beforeLines="25" w:after="79" w:afterLines="25"/>
              <w:jc w:val="center"/>
              <w:textAlignment w:val="top"/>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w:t>
            </w:r>
          </w:p>
        </w:tc>
      </w:tr>
      <w:tr w14:paraId="1686E320">
        <w:trPr>
          <w:jc w:val="center"/>
        </w:trPr>
        <w:tc>
          <w:tcPr>
            <w:tcW w:w="134" w:type="pct"/>
            <w:shd w:val="clear" w:color="auto" w:fill="auto"/>
            <w:tcMar>
              <w:left w:w="28" w:type="dxa"/>
              <w:right w:w="28" w:type="dxa"/>
            </w:tcMar>
            <w:vAlign w:val="center"/>
          </w:tcPr>
          <w:p w14:paraId="4F8098E0">
            <w:pPr>
              <w:pStyle w:val="14"/>
              <w:keepNext w:val="0"/>
              <w:keepLines w:val="0"/>
              <w:pageBreakBefore w:val="0"/>
              <w:widowControl w:val="0"/>
              <w:numPr>
                <w:ilvl w:val="0"/>
                <w:numId w:val="1"/>
              </w:numPr>
              <w:kinsoku/>
              <w:wordWrap/>
              <w:overflowPunct/>
              <w:topLinePunct w:val="0"/>
              <w:autoSpaceDE/>
              <w:autoSpaceDN/>
              <w:bidi w:val="0"/>
              <w:adjustRightInd w:val="0"/>
              <w:snapToGrid w:val="0"/>
              <w:spacing w:before="79" w:beforeLines="25" w:after="79" w:afterLines="25"/>
              <w:ind w:left="0" w:leftChars="0" w:firstLine="0" w:firstLineChars="0"/>
              <w:jc w:val="center"/>
              <w:textAlignment w:val="auto"/>
              <w:rPr>
                <w:rFonts w:ascii="Times New Roman" w:hAnsi="Times New Roman" w:eastAsia="宋体" w:cs="Times New Roman"/>
                <w:sz w:val="21"/>
                <w:szCs w:val="21"/>
              </w:rPr>
            </w:pPr>
          </w:p>
        </w:tc>
        <w:tc>
          <w:tcPr>
            <w:tcW w:w="606" w:type="dxa"/>
            <w:tcMar>
              <w:left w:w="28" w:type="dxa"/>
              <w:right w:w="28" w:type="dxa"/>
            </w:tcMar>
            <w:vAlign w:val="center"/>
          </w:tcPr>
          <w:p w14:paraId="5FAC28C4">
            <w:pPr>
              <w:keepNext w:val="0"/>
              <w:keepLines w:val="0"/>
              <w:widowControl/>
              <w:suppressLineNumbers w:val="0"/>
              <w:wordWrap/>
              <w:spacing w:line="240" w:lineRule="auto"/>
              <w:jc w:val="left"/>
              <w:textAlignment w:val="center"/>
              <w:rPr>
                <w:rFonts w:ascii="Times New Roman" w:hAnsi="Times New Roman" w:eastAsia="宋体" w:cs="微软雅黑"/>
                <w:i w:val="0"/>
                <w:iCs w:val="0"/>
                <w:color w:val="000000"/>
                <w:kern w:val="2"/>
                <w:sz w:val="21"/>
                <w:szCs w:val="21"/>
                <w:u w:val="none"/>
                <w:lang w:val="en-US" w:eastAsia="zh-CN" w:bidi="ar-SA"/>
              </w:rPr>
            </w:pPr>
            <w:r>
              <w:rPr>
                <w:rFonts w:ascii="宋体" w:hAnsi="宋体" w:eastAsia="宋体" w:cs="宋体"/>
                <w:color w:val="000000"/>
                <w:kern w:val="0"/>
                <w:sz w:val="20"/>
                <w:szCs w:val="20"/>
                <w:lang w:val="en-US" w:eastAsia="zh-CN" w:bidi="ar"/>
              </w:rPr>
              <w:t>汽车安全</w:t>
            </w:r>
          </w:p>
        </w:tc>
        <w:tc>
          <w:tcPr>
            <w:tcW w:w="1967" w:type="dxa"/>
            <w:shd w:val="clear" w:color="auto" w:fill="auto"/>
            <w:tcMar>
              <w:left w:w="28" w:type="dxa"/>
              <w:right w:w="28" w:type="dxa"/>
            </w:tcMar>
            <w:vAlign w:val="center"/>
          </w:tcPr>
          <w:p w14:paraId="6A7B0F56">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面向未来场景的汽车大角度座椅对向乘坐姿态乘员安全性评价方法研究</w:t>
            </w:r>
          </w:p>
        </w:tc>
        <w:tc>
          <w:tcPr>
            <w:tcW w:w="6343" w:type="dxa"/>
            <w:shd w:val="clear" w:color="auto" w:fill="auto"/>
            <w:tcMar>
              <w:left w:w="28" w:type="dxa"/>
              <w:right w:w="28" w:type="dxa"/>
            </w:tcMar>
            <w:vAlign w:val="center"/>
          </w:tcPr>
          <w:p w14:paraId="785052F1">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面向未来智能座舱大角度座椅对向乘坐新型姿态，聚焦高速冲击工况下的乘员安全评价难题，开展安全性评价方法预研研究。一是建立典型乘坐姿态与冲击工况体系，针对座舱面对面交流、休憩等场景，明确大角度后仰、对向乘坐的座椅角度、H点、安全带搭接等关键参数，选取高速正面、后向冲击及紧急制动等典型工况，构建适配标准预研的姿态与冲击工况组合。二是开展乘员-座椅-约束系统耦合冲击动力学分析，通过动力学仿真对比常规坐姿与大角度坐姿的乘员运动响应、约束状态及部件载荷，识别新型乘坐姿态下的乘员保护短板与安全薄弱环节。三是结合多维度生物力学损伤指标，搭建适配大角度对向乘坐场景的乘员安全评价体系，明确工况设置、判定准则与评价边界，输出标准化条款建议，为智能座舱座椅布置、约束系统匹配及相关安全标准研制提供技术支撑。</w:t>
            </w:r>
          </w:p>
        </w:tc>
        <w:tc>
          <w:tcPr>
            <w:tcW w:w="4831" w:type="dxa"/>
            <w:shd w:val="clear" w:color="auto" w:fill="auto"/>
            <w:tcMar>
              <w:left w:w="28" w:type="dxa"/>
              <w:right w:w="28" w:type="dxa"/>
            </w:tcMar>
            <w:vAlign w:val="center"/>
          </w:tcPr>
          <w:p w14:paraId="20428E0E">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1.完成面向未来场景的汽车大角度座椅对向乘坐姿态乘员安全性评价方法研究报告1份，报告至少包含以下内容：</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（1）完成当前汽车座椅产业趋势分析；</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（2）开展汽车大角度座椅对向乘坐姿态乘员安全性评价研究</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（3）开展汽车面向未来场景的座椅技术路线和发展趋势的分析。</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2.在《中国汽车》等期刊上发表或完成1篇论文。</w:t>
            </w:r>
          </w:p>
        </w:tc>
        <w:tc>
          <w:tcPr>
            <w:tcW w:w="271" w:type="pct"/>
            <w:shd w:val="clear" w:color="auto" w:fill="auto"/>
            <w:tcMar>
              <w:left w:w="28" w:type="dxa"/>
              <w:right w:w="28" w:type="dxa"/>
            </w:tcMar>
            <w:vAlign w:val="center"/>
          </w:tcPr>
          <w:p w14:paraId="7DCD1FC6">
            <w:pPr>
              <w:keepNext w:val="0"/>
              <w:keepLines w:val="0"/>
              <w:pageBreakBefore w:val="0"/>
              <w:widowControl/>
              <w:suppressLineNumbers w:val="0"/>
              <w:kinsoku/>
              <w:wordWrap/>
              <w:overflowPunct/>
              <w:topLinePunct w:val="0"/>
              <w:autoSpaceDE/>
              <w:autoSpaceDN/>
              <w:bidi w:val="0"/>
              <w:snapToGrid w:val="0"/>
              <w:spacing w:before="79" w:beforeLines="25" w:after="79" w:afterLines="25"/>
              <w:jc w:val="center"/>
              <w:textAlignment w:val="top"/>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w:t>
            </w:r>
          </w:p>
        </w:tc>
      </w:tr>
      <w:tr w14:paraId="0630661E">
        <w:trPr>
          <w:jc w:val="center"/>
        </w:trPr>
        <w:tc>
          <w:tcPr>
            <w:tcW w:w="134" w:type="pct"/>
            <w:shd w:val="clear" w:color="auto" w:fill="auto"/>
            <w:tcMar>
              <w:left w:w="28" w:type="dxa"/>
              <w:right w:w="28" w:type="dxa"/>
            </w:tcMar>
            <w:vAlign w:val="center"/>
          </w:tcPr>
          <w:p w14:paraId="07B9F9AD">
            <w:pPr>
              <w:pStyle w:val="14"/>
              <w:keepNext w:val="0"/>
              <w:keepLines w:val="0"/>
              <w:pageBreakBefore w:val="0"/>
              <w:widowControl w:val="0"/>
              <w:numPr>
                <w:ilvl w:val="0"/>
                <w:numId w:val="1"/>
              </w:numPr>
              <w:kinsoku/>
              <w:wordWrap/>
              <w:overflowPunct/>
              <w:topLinePunct w:val="0"/>
              <w:autoSpaceDE/>
              <w:autoSpaceDN/>
              <w:bidi w:val="0"/>
              <w:adjustRightInd w:val="0"/>
              <w:snapToGrid w:val="0"/>
              <w:spacing w:before="79" w:beforeLines="25" w:after="79" w:afterLines="25"/>
              <w:ind w:left="0" w:leftChars="0" w:firstLine="0" w:firstLineChars="0"/>
              <w:jc w:val="center"/>
              <w:textAlignment w:val="auto"/>
              <w:rPr>
                <w:rFonts w:ascii="Times New Roman" w:hAnsi="Times New Roman" w:eastAsia="宋体" w:cs="Times New Roman"/>
                <w:sz w:val="21"/>
                <w:szCs w:val="21"/>
              </w:rPr>
            </w:pPr>
          </w:p>
        </w:tc>
        <w:tc>
          <w:tcPr>
            <w:tcW w:w="606" w:type="dxa"/>
            <w:tcMar>
              <w:left w:w="28" w:type="dxa"/>
              <w:right w:w="28" w:type="dxa"/>
            </w:tcMar>
            <w:vAlign w:val="center"/>
          </w:tcPr>
          <w:p w14:paraId="16F50CA3">
            <w:pPr>
              <w:keepNext w:val="0"/>
              <w:keepLines w:val="0"/>
              <w:widowControl/>
              <w:suppressLineNumbers w:val="0"/>
              <w:wordWrap/>
              <w:spacing w:line="240" w:lineRule="auto"/>
              <w:jc w:val="left"/>
              <w:textAlignment w:val="center"/>
              <w:rPr>
                <w:rFonts w:hint="default" w:ascii="Times New Roman" w:hAnsi="Times New Roman" w:eastAsia="宋体" w:cs="微软雅黑"/>
                <w:i w:val="0"/>
                <w:iCs w:val="0"/>
                <w:color w:val="000000"/>
                <w:kern w:val="2"/>
                <w:sz w:val="21"/>
                <w:szCs w:val="21"/>
                <w:u w:val="none"/>
                <w:lang w:val="en-US" w:eastAsia="zh-CN" w:bidi="ar-SA"/>
              </w:rPr>
            </w:pPr>
            <w:r>
              <w:rPr>
                <w:rFonts w:ascii="宋体" w:hAnsi="宋体" w:eastAsia="宋体" w:cs="宋体"/>
                <w:color w:val="000000"/>
                <w:kern w:val="0"/>
                <w:sz w:val="20"/>
                <w:szCs w:val="20"/>
                <w:lang w:val="en-US" w:eastAsia="zh-CN" w:bidi="ar"/>
              </w:rPr>
              <w:t>理论研究</w:t>
            </w:r>
          </w:p>
        </w:tc>
        <w:tc>
          <w:tcPr>
            <w:tcW w:w="1967" w:type="dxa"/>
            <w:shd w:val="clear" w:color="auto" w:fill="auto"/>
            <w:tcMar>
              <w:left w:w="28" w:type="dxa"/>
              <w:right w:w="28" w:type="dxa"/>
            </w:tcMar>
            <w:vAlign w:val="center"/>
          </w:tcPr>
          <w:p w14:paraId="2A67171C">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汽车前瞻技术标准化就绪度评价方法研究</w:t>
            </w:r>
          </w:p>
        </w:tc>
        <w:tc>
          <w:tcPr>
            <w:tcW w:w="6343" w:type="dxa"/>
            <w:shd w:val="clear" w:color="auto" w:fill="auto"/>
            <w:tcMar>
              <w:left w:w="28" w:type="dxa"/>
              <w:right w:w="28" w:type="dxa"/>
            </w:tcMar>
            <w:vAlign w:val="center"/>
          </w:tcPr>
          <w:p w14:paraId="14D0F5E0">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立足汽车产业电动化、智能化、网联化发展变革需求，聚焦典型前瞻技术标准化痛点，以构建科学兼容、落地性强的前瞻技术标准化评估体系为核心目标。项目系统梳理汽车前瞻技术行业发展现状，明确开展标准化评估的必要性。围绕技术风险挖掘、标准化路线科学性、技术成熟度、落地可行性、产业预期效益等核心维度，专项研究汽车前瞻技术标准化就绪度评价方法。本次研究搭建适配汽车未来产业生态标准化就绪度评估体系，基于数据可得性选取典型前瞻技术场景开展探索性应用示范与验证分析，从而补齐行业前瞻技术标准化前期研判、科学决策的方法短板。研究成果可为汽车前瞻技术的标准立项、路线规划、落地推进提供专业的理论依据与技术支撑，形成可复用、可推广的标准化评估成果，助力我国汽车前瞻技术标准化工作高效、科学、前瞻性开展。</w:t>
            </w:r>
          </w:p>
        </w:tc>
        <w:tc>
          <w:tcPr>
            <w:tcW w:w="4831" w:type="dxa"/>
            <w:shd w:val="clear" w:color="auto" w:fill="auto"/>
            <w:tcMar>
              <w:left w:w="28" w:type="dxa"/>
              <w:right w:w="28" w:type="dxa"/>
            </w:tcMar>
            <w:vAlign w:val="center"/>
          </w:tcPr>
          <w:p w14:paraId="7A80CB43">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1.完成汽车前瞻技术标准化就绪度评价方法研究报告1份，报告至少包含以下内容：</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（1）相关行业前瞻技术标准化评价的实践与经验；</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（2）考虑技术成熟度、技术风险评估、标准化可行性、产业预期效益等核心维度，构建定性与定量相结合的汽车产业前瞻技术标准化就绪度评价体系；</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（3）提出汽车前瞻技术标准化就绪度评价的流程框架与实施建议。</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2.基于研究成果撰写1篇学术论文，向《中国汽车》期刊投稿。</w:t>
            </w:r>
          </w:p>
        </w:tc>
        <w:tc>
          <w:tcPr>
            <w:tcW w:w="271" w:type="pct"/>
            <w:shd w:val="clear" w:color="auto" w:fill="auto"/>
            <w:tcMar>
              <w:left w:w="28" w:type="dxa"/>
              <w:right w:w="28" w:type="dxa"/>
            </w:tcMar>
            <w:vAlign w:val="center"/>
          </w:tcPr>
          <w:p w14:paraId="286111A5">
            <w:pPr>
              <w:keepNext w:val="0"/>
              <w:keepLines w:val="0"/>
              <w:pageBreakBefore w:val="0"/>
              <w:widowControl/>
              <w:suppressLineNumbers w:val="0"/>
              <w:kinsoku/>
              <w:wordWrap/>
              <w:overflowPunct/>
              <w:topLinePunct w:val="0"/>
              <w:autoSpaceDE/>
              <w:autoSpaceDN/>
              <w:bidi w:val="0"/>
              <w:snapToGrid w:val="0"/>
              <w:spacing w:before="79" w:beforeLines="25" w:after="79" w:afterLines="25"/>
              <w:jc w:val="center"/>
              <w:textAlignment w:val="top"/>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w:t>
            </w:r>
          </w:p>
        </w:tc>
      </w:tr>
      <w:tr w14:paraId="713322D6">
        <w:trPr>
          <w:trHeight w:val="2983" w:hRule="atLeast"/>
          <w:jc w:val="center"/>
        </w:trPr>
        <w:tc>
          <w:tcPr>
            <w:tcW w:w="134" w:type="pct"/>
            <w:shd w:val="clear" w:color="auto" w:fill="auto"/>
            <w:tcMar>
              <w:left w:w="28" w:type="dxa"/>
              <w:right w:w="28" w:type="dxa"/>
            </w:tcMar>
            <w:vAlign w:val="center"/>
          </w:tcPr>
          <w:p w14:paraId="010530A6">
            <w:pPr>
              <w:pStyle w:val="14"/>
              <w:keepNext w:val="0"/>
              <w:keepLines w:val="0"/>
              <w:pageBreakBefore w:val="0"/>
              <w:widowControl w:val="0"/>
              <w:numPr>
                <w:ilvl w:val="0"/>
                <w:numId w:val="1"/>
              </w:numPr>
              <w:kinsoku/>
              <w:wordWrap/>
              <w:overflowPunct/>
              <w:topLinePunct w:val="0"/>
              <w:autoSpaceDE/>
              <w:autoSpaceDN/>
              <w:bidi w:val="0"/>
              <w:adjustRightInd w:val="0"/>
              <w:snapToGrid w:val="0"/>
              <w:spacing w:before="79" w:beforeLines="25" w:after="79" w:afterLines="25"/>
              <w:ind w:left="0" w:leftChars="0" w:firstLine="0" w:firstLineChars="0"/>
              <w:jc w:val="center"/>
              <w:textAlignment w:val="auto"/>
              <w:rPr>
                <w:rFonts w:ascii="Times New Roman" w:hAnsi="Times New Roman" w:eastAsia="宋体" w:cs="Times New Roman"/>
                <w:sz w:val="21"/>
                <w:szCs w:val="21"/>
              </w:rPr>
            </w:pPr>
          </w:p>
        </w:tc>
        <w:tc>
          <w:tcPr>
            <w:tcW w:w="606" w:type="dxa"/>
            <w:tcMar>
              <w:left w:w="28" w:type="dxa"/>
              <w:right w:w="28" w:type="dxa"/>
            </w:tcMar>
            <w:vAlign w:val="center"/>
          </w:tcPr>
          <w:p w14:paraId="17C099B7">
            <w:pPr>
              <w:keepNext w:val="0"/>
              <w:keepLines w:val="0"/>
              <w:widowControl/>
              <w:suppressLineNumbers w:val="0"/>
              <w:wordWrap/>
              <w:spacing w:line="240" w:lineRule="auto"/>
              <w:jc w:val="left"/>
              <w:textAlignment w:val="center"/>
              <w:rPr>
                <w:rFonts w:ascii="Times New Roman" w:hAnsi="Times New Roman" w:eastAsia="宋体" w:cs="微软雅黑"/>
                <w:i w:val="0"/>
                <w:iCs w:val="0"/>
                <w:color w:val="000000"/>
                <w:kern w:val="2"/>
                <w:sz w:val="21"/>
                <w:szCs w:val="21"/>
                <w:u w:val="none"/>
                <w:lang w:val="en-US" w:eastAsia="zh-CN" w:bidi="ar-SA"/>
              </w:rPr>
            </w:pPr>
            <w:r>
              <w:rPr>
                <w:rFonts w:ascii="宋体" w:hAnsi="宋体" w:eastAsia="宋体" w:cs="宋体"/>
                <w:color w:val="000000"/>
                <w:kern w:val="0"/>
                <w:sz w:val="20"/>
                <w:szCs w:val="20"/>
                <w:lang w:val="en-US" w:eastAsia="zh-CN" w:bidi="ar"/>
              </w:rPr>
              <w:t>智能网联汽车</w:t>
            </w:r>
          </w:p>
        </w:tc>
        <w:tc>
          <w:tcPr>
            <w:tcW w:w="1967" w:type="dxa"/>
            <w:shd w:val="clear" w:color="auto" w:fill="auto"/>
            <w:tcMar>
              <w:left w:w="28" w:type="dxa"/>
              <w:right w:w="28" w:type="dxa"/>
            </w:tcMar>
            <w:vAlign w:val="center"/>
          </w:tcPr>
          <w:p w14:paraId="164DB786">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面向高级别自动驾驶的博弈交互场地测试方法</w:t>
            </w:r>
          </w:p>
        </w:tc>
        <w:tc>
          <w:tcPr>
            <w:tcW w:w="6343" w:type="dxa"/>
            <w:shd w:val="clear" w:color="auto" w:fill="auto"/>
            <w:tcMar>
              <w:left w:w="28" w:type="dxa"/>
              <w:right w:w="28" w:type="dxa"/>
            </w:tcMar>
            <w:vAlign w:val="center"/>
          </w:tcPr>
          <w:p w14:paraId="030D8386">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面向L3及以上高级别自动驾驶博弈交互安全验证需求，结合自动驾驶场地动态测试发展趋势，依托车云一体化虚实融合测试平台，攻克AI大模型驱动的多交通参与者博弈场景生成、多智能体协同控制等关键技术，建立一套通用可推广的博弈交互场地标准化测试方法，为自动驾驶场地动态测试标准研究提供前瞻性技术支撑。</w:t>
            </w:r>
          </w:p>
        </w:tc>
        <w:tc>
          <w:tcPr>
            <w:tcW w:w="4831" w:type="dxa"/>
            <w:shd w:val="clear" w:color="auto" w:fill="auto"/>
            <w:tcMar>
              <w:left w:w="28" w:type="dxa"/>
              <w:right w:w="28" w:type="dxa"/>
            </w:tcMar>
            <w:vAlign w:val="center"/>
          </w:tcPr>
          <w:p w14:paraId="1AD41A24">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1. 技术指标</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（1）实现高动态博弈场景下可协同控制≥6个目标物且类型≥3类；</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（2）云端博弈场景滚动周期≤200ms。</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2.成果指标</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（1）形成多交通参与者博弈交互场地测试技术研究报告1份；</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（2）发表博弈场景生成或多智能体协同控制相关SCI论文1篇。</w:t>
            </w:r>
          </w:p>
        </w:tc>
        <w:tc>
          <w:tcPr>
            <w:tcW w:w="271" w:type="pct"/>
            <w:shd w:val="clear" w:color="auto" w:fill="auto"/>
            <w:tcMar>
              <w:left w:w="28" w:type="dxa"/>
              <w:right w:w="28" w:type="dxa"/>
            </w:tcMar>
            <w:vAlign w:val="center"/>
          </w:tcPr>
          <w:p w14:paraId="120BEF41">
            <w:pPr>
              <w:keepNext w:val="0"/>
              <w:keepLines w:val="0"/>
              <w:pageBreakBefore w:val="0"/>
              <w:widowControl/>
              <w:suppressLineNumbers w:val="0"/>
              <w:kinsoku/>
              <w:wordWrap/>
              <w:overflowPunct/>
              <w:topLinePunct w:val="0"/>
              <w:autoSpaceDE/>
              <w:autoSpaceDN/>
              <w:bidi w:val="0"/>
              <w:snapToGrid w:val="0"/>
              <w:spacing w:before="79" w:beforeLines="25" w:after="79" w:afterLines="25"/>
              <w:jc w:val="center"/>
              <w:textAlignment w:val="top"/>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w:t>
            </w:r>
          </w:p>
        </w:tc>
      </w:tr>
      <w:tr w14:paraId="6C4168C5">
        <w:trPr>
          <w:jc w:val="center"/>
        </w:trPr>
        <w:tc>
          <w:tcPr>
            <w:tcW w:w="134" w:type="pct"/>
            <w:shd w:val="clear" w:color="auto" w:fill="auto"/>
            <w:tcMar>
              <w:left w:w="28" w:type="dxa"/>
              <w:right w:w="28" w:type="dxa"/>
            </w:tcMar>
            <w:vAlign w:val="center"/>
          </w:tcPr>
          <w:p w14:paraId="195F436C">
            <w:pPr>
              <w:pStyle w:val="14"/>
              <w:keepNext w:val="0"/>
              <w:keepLines w:val="0"/>
              <w:pageBreakBefore w:val="0"/>
              <w:widowControl w:val="0"/>
              <w:numPr>
                <w:ilvl w:val="0"/>
                <w:numId w:val="1"/>
              </w:numPr>
              <w:kinsoku/>
              <w:wordWrap/>
              <w:overflowPunct/>
              <w:topLinePunct w:val="0"/>
              <w:autoSpaceDE/>
              <w:autoSpaceDN/>
              <w:bidi w:val="0"/>
              <w:adjustRightInd w:val="0"/>
              <w:snapToGrid w:val="0"/>
              <w:spacing w:before="79" w:beforeLines="25" w:after="79" w:afterLines="25"/>
              <w:ind w:left="0" w:leftChars="0" w:firstLine="0" w:firstLineChars="0"/>
              <w:jc w:val="center"/>
              <w:textAlignment w:val="auto"/>
              <w:rPr>
                <w:rFonts w:ascii="Times New Roman" w:hAnsi="Times New Roman" w:eastAsia="宋体" w:cs="Times New Roman"/>
                <w:sz w:val="21"/>
                <w:szCs w:val="21"/>
              </w:rPr>
            </w:pPr>
          </w:p>
        </w:tc>
        <w:tc>
          <w:tcPr>
            <w:tcW w:w="606" w:type="dxa"/>
            <w:tcMar>
              <w:left w:w="28" w:type="dxa"/>
              <w:right w:w="28" w:type="dxa"/>
            </w:tcMar>
            <w:vAlign w:val="center"/>
          </w:tcPr>
          <w:p w14:paraId="6B2B3B33">
            <w:pPr>
              <w:keepNext w:val="0"/>
              <w:keepLines w:val="0"/>
              <w:widowControl/>
              <w:suppressLineNumbers w:val="0"/>
              <w:wordWrap/>
              <w:spacing w:line="240" w:lineRule="auto"/>
              <w:jc w:val="left"/>
              <w:textAlignment w:val="center"/>
              <w:rPr>
                <w:rFonts w:hint="eastAsia" w:ascii="Times New Roman" w:hAnsi="Times New Roman" w:eastAsia="宋体" w:cs="Times New Roman"/>
                <w:sz w:val="21"/>
                <w:szCs w:val="21"/>
                <w:lang w:val="en-US" w:eastAsia="zh-CN"/>
              </w:rPr>
            </w:pPr>
            <w:r>
              <w:rPr>
                <w:rFonts w:ascii="宋体" w:hAnsi="宋体" w:eastAsia="宋体" w:cs="宋体"/>
                <w:color w:val="000000"/>
                <w:kern w:val="0"/>
                <w:sz w:val="20"/>
                <w:szCs w:val="20"/>
                <w:lang w:val="en-US" w:eastAsia="zh-CN" w:bidi="ar"/>
              </w:rPr>
              <w:t>先进测试</w:t>
            </w:r>
          </w:p>
        </w:tc>
        <w:tc>
          <w:tcPr>
            <w:tcW w:w="1967" w:type="dxa"/>
            <w:shd w:val="clear" w:color="auto" w:fill="auto"/>
            <w:tcMar>
              <w:left w:w="28" w:type="dxa"/>
              <w:right w:w="28" w:type="dxa"/>
            </w:tcMar>
            <w:vAlign w:val="center"/>
          </w:tcPr>
          <w:p w14:paraId="11AC12DA">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虚实融合环境下智能底盘端到端测试装备与试验方法标准化研究</w:t>
            </w:r>
          </w:p>
        </w:tc>
        <w:tc>
          <w:tcPr>
            <w:tcW w:w="6343" w:type="dxa"/>
            <w:shd w:val="clear" w:color="auto" w:fill="auto"/>
            <w:tcMar>
              <w:left w:w="28" w:type="dxa"/>
              <w:right w:w="28" w:type="dxa"/>
            </w:tcMar>
            <w:vAlign w:val="center"/>
          </w:tcPr>
          <w:p w14:paraId="42EDEB35">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1. 围绕智能底盘虚实融合测试需求，开展国内外相关测试技术、装备形态及应用现状研究，重点梳理智能底盘虚拟仿真、硬件在环、台架及实车等测试方式的技术特点、适用范围及发展趋势。</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 结合智能底盘典型功能与测试需求，对比不同测试方式在测试对象、场景覆盖、真实性、效率和可重复性等方面的特点，明确其功能定位和衔接关系，分析不同测试方式及适用场景。</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3. 围绕测试对象、试验场景、测试环境、数据交互和结果评价等环节，研究虚实融合测试方法，形成智能底盘虚实融合测试的典型技术路线。</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4. 提出智能底盘虚实融合测试面临的共性问题及标准化需求，形成相关技术研究成果，并提出后续测试技术及标准化工作的方向建议，为智能底盘测试评价和相关标准研究提供技术参考。</w:t>
            </w:r>
          </w:p>
        </w:tc>
        <w:tc>
          <w:tcPr>
            <w:tcW w:w="4831" w:type="dxa"/>
            <w:shd w:val="clear" w:color="auto" w:fill="auto"/>
            <w:tcMar>
              <w:left w:w="28" w:type="dxa"/>
              <w:right w:w="28" w:type="dxa"/>
            </w:tcMar>
            <w:vAlign w:val="center"/>
          </w:tcPr>
          <w:p w14:paraId="4987F809">
            <w:pPr>
              <w:keepNext w:val="0"/>
              <w:keepLines w:val="0"/>
              <w:widowControl/>
              <w:suppressLineNumbers w:val="0"/>
              <w:wordWrap/>
              <w:spacing w:line="240" w:lineRule="auto"/>
              <w:jc w:val="left"/>
              <w:textAlignment w:val="center"/>
              <w:rPr>
                <w:rFonts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1. 完成智能底盘虚实融合测试方法研究报告1份，报告至少包含以下内容:</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（1）智能底盘不同测试方式（虚拟仿真、硬件在环、台架及实车等）的技术特点、功能定位及适用场景分析；</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（2）不同测试方式之间的衔接关系及典型虚实融合测试方法研究，重点涵盖测试对象、测试环境、数据交互和结果评价等关键环节；</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（3）智能底盘虚实融合测试面临的主要问题分析，以及后续测试评价技术的发展方向建议。</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 形成智能底盘虚实融合测试标准化研究技术路线图1套</w:t>
            </w:r>
            <w:r>
              <w:rPr>
                <w:rFonts w:hint="eastAsia" w:ascii="宋体" w:hAnsi="宋体" w:eastAsia="宋体" w:cs="宋体"/>
                <w:color w:val="000000"/>
                <w:kern w:val="0"/>
                <w:sz w:val="20"/>
                <w:szCs w:val="20"/>
                <w:lang w:val="en-US" w:eastAsia="zh-CN" w:bidi="ar"/>
              </w:rPr>
              <w:t>；</w:t>
            </w:r>
            <w:bookmarkStart w:id="0" w:name="_GoBack"/>
            <w:bookmarkEnd w:id="0"/>
          </w:p>
          <w:p w14:paraId="687565AF">
            <w:pPr>
              <w:keepNext w:val="0"/>
              <w:keepLines w:val="0"/>
              <w:widowControl/>
              <w:suppressLineNumbers w:val="0"/>
              <w:wordWrap/>
              <w:spacing w:line="240" w:lineRule="auto"/>
              <w:jc w:val="left"/>
              <w:textAlignment w:val="center"/>
              <w:rPr>
                <w:rFonts w:hint="eastAsia" w:ascii="宋体" w:hAnsi="宋体" w:eastAsia="宋体" w:cs="宋体"/>
                <w:color w:val="000000"/>
                <w:kern w:val="0"/>
                <w:sz w:val="20"/>
                <w:szCs w:val="20"/>
                <w:lang w:val="en-US" w:eastAsia="zh-CN" w:bidi="ar"/>
              </w:rPr>
            </w:pPr>
            <w:r>
              <w:rPr>
                <w:rFonts w:ascii="宋体" w:hAnsi="宋体" w:eastAsia="宋体" w:cs="宋体"/>
                <w:color w:val="000000"/>
                <w:kern w:val="0"/>
                <w:sz w:val="20"/>
                <w:szCs w:val="20"/>
                <w:lang w:val="en-US" w:eastAsia="zh-CN" w:bidi="ar"/>
              </w:rPr>
              <w:t>3.课题相关论文1篇。</w:t>
            </w:r>
          </w:p>
        </w:tc>
        <w:tc>
          <w:tcPr>
            <w:tcW w:w="271" w:type="pct"/>
            <w:shd w:val="clear" w:color="auto" w:fill="auto"/>
            <w:tcMar>
              <w:left w:w="28" w:type="dxa"/>
              <w:right w:w="28" w:type="dxa"/>
            </w:tcMar>
            <w:vAlign w:val="center"/>
          </w:tcPr>
          <w:p w14:paraId="41993E10">
            <w:pPr>
              <w:keepNext w:val="0"/>
              <w:keepLines w:val="0"/>
              <w:pageBreakBefore w:val="0"/>
              <w:widowControl/>
              <w:suppressLineNumbers w:val="0"/>
              <w:kinsoku/>
              <w:wordWrap/>
              <w:overflowPunct/>
              <w:topLinePunct w:val="0"/>
              <w:autoSpaceDE/>
              <w:autoSpaceDN/>
              <w:bidi w:val="0"/>
              <w:snapToGrid w:val="0"/>
              <w:spacing w:before="79" w:beforeLines="25" w:after="79" w:afterLines="25"/>
              <w:jc w:val="center"/>
              <w:textAlignment w:val="top"/>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w:t>
            </w:r>
          </w:p>
        </w:tc>
      </w:tr>
      <w:tr w14:paraId="1AA02DA5">
        <w:trPr>
          <w:jc w:val="center"/>
        </w:trPr>
        <w:tc>
          <w:tcPr>
            <w:tcW w:w="134" w:type="pct"/>
            <w:shd w:val="clear" w:color="auto" w:fill="auto"/>
            <w:tcMar>
              <w:left w:w="28" w:type="dxa"/>
              <w:right w:w="28" w:type="dxa"/>
            </w:tcMar>
            <w:vAlign w:val="center"/>
          </w:tcPr>
          <w:p w14:paraId="1FD18DEB">
            <w:pPr>
              <w:pStyle w:val="14"/>
              <w:keepNext w:val="0"/>
              <w:keepLines w:val="0"/>
              <w:pageBreakBefore w:val="0"/>
              <w:widowControl w:val="0"/>
              <w:numPr>
                <w:ilvl w:val="0"/>
                <w:numId w:val="1"/>
              </w:numPr>
              <w:kinsoku/>
              <w:wordWrap/>
              <w:overflowPunct/>
              <w:topLinePunct w:val="0"/>
              <w:autoSpaceDE/>
              <w:autoSpaceDN/>
              <w:bidi w:val="0"/>
              <w:adjustRightInd w:val="0"/>
              <w:snapToGrid w:val="0"/>
              <w:spacing w:before="79" w:beforeLines="25" w:after="79" w:afterLines="25"/>
              <w:ind w:left="0" w:leftChars="0" w:firstLine="0" w:firstLineChars="0"/>
              <w:jc w:val="center"/>
              <w:textAlignment w:val="auto"/>
              <w:rPr>
                <w:rFonts w:ascii="Times New Roman" w:hAnsi="Times New Roman" w:eastAsia="宋体" w:cs="Times New Roman"/>
                <w:sz w:val="21"/>
                <w:szCs w:val="21"/>
              </w:rPr>
            </w:pPr>
          </w:p>
        </w:tc>
        <w:tc>
          <w:tcPr>
            <w:tcW w:w="606" w:type="dxa"/>
            <w:tcMar>
              <w:left w:w="28" w:type="dxa"/>
              <w:right w:w="28" w:type="dxa"/>
            </w:tcMar>
            <w:vAlign w:val="center"/>
          </w:tcPr>
          <w:p w14:paraId="7B078FBB">
            <w:pPr>
              <w:keepNext w:val="0"/>
              <w:keepLines w:val="0"/>
              <w:widowControl/>
              <w:suppressLineNumbers w:val="0"/>
              <w:wordWrap/>
              <w:spacing w:line="240" w:lineRule="auto"/>
              <w:jc w:val="left"/>
              <w:textAlignment w:val="center"/>
              <w:rPr>
                <w:rFonts w:hint="eastAsia" w:ascii="Times New Roman" w:hAnsi="Times New Roman" w:eastAsia="宋体" w:cs="Times New Roman"/>
                <w:sz w:val="21"/>
                <w:szCs w:val="21"/>
                <w:lang w:val="en-US" w:eastAsia="zh-CN"/>
              </w:rPr>
            </w:pPr>
            <w:r>
              <w:rPr>
                <w:rFonts w:ascii="宋体" w:hAnsi="宋体" w:eastAsia="宋体" w:cs="宋体"/>
                <w:color w:val="000000"/>
                <w:kern w:val="0"/>
                <w:sz w:val="20"/>
                <w:szCs w:val="20"/>
                <w:lang w:val="en-US" w:eastAsia="zh-CN" w:bidi="ar"/>
              </w:rPr>
              <w:t>智能制造</w:t>
            </w:r>
          </w:p>
        </w:tc>
        <w:tc>
          <w:tcPr>
            <w:tcW w:w="1967" w:type="dxa"/>
            <w:shd w:val="clear" w:color="auto" w:fill="auto"/>
            <w:tcMar>
              <w:left w:w="28" w:type="dxa"/>
              <w:right w:w="28" w:type="dxa"/>
            </w:tcMar>
            <w:vAlign w:val="center"/>
          </w:tcPr>
          <w:p w14:paraId="7B957AAC">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汽车制造端AI就绪数据集标准化评价及应用验证方法研究</w:t>
            </w:r>
          </w:p>
        </w:tc>
        <w:tc>
          <w:tcPr>
            <w:tcW w:w="6343" w:type="dxa"/>
            <w:shd w:val="clear" w:color="auto" w:fill="auto"/>
            <w:tcMar>
              <w:left w:w="28" w:type="dxa"/>
              <w:right w:w="28" w:type="dxa"/>
            </w:tcMar>
            <w:vAlign w:val="center"/>
          </w:tcPr>
          <w:p w14:paraId="221BB526">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聚焦人工智能大模型、多模态模型及工业智能体在汽车制造领域规模化落地应用的高质量数据集核心刚需，立足汽车行业产品配置复杂度高、制造过程时序性强、质量追溯要求严苛、软硬件版本高度耦合、数据安全边界繁杂等典型行业特性，系统开展汽车制造端AI就绪数据集的体系化研究。课题旨在明确汽车制造AI就绪数据集的统一内涵定义与规范化建设要求，构建适配汽车制造场景的数据集行业评价指标体系、标准化应用验证流程及常态化标准转化路径。同时，依托汽车制造关键业务链条打造标杆示范应用场景，通过场景落地验证方法体系的科学性与实用性，最终形成一套可指导汽车行业AI数据集建设、质量测评、落地应用的标准化、规范化方法体系，为汽车制造领域人工智能技术规模化、高质量落地应用筑牢数据与标准支撑。</w:t>
            </w:r>
          </w:p>
        </w:tc>
        <w:tc>
          <w:tcPr>
            <w:tcW w:w="4831" w:type="dxa"/>
            <w:shd w:val="clear" w:color="auto" w:fill="auto"/>
            <w:tcMar>
              <w:left w:w="28" w:type="dxa"/>
              <w:right w:w="28" w:type="dxa"/>
            </w:tcMar>
            <w:vAlign w:val="center"/>
          </w:tcPr>
          <w:p w14:paraId="4FEFA787">
            <w:pPr>
              <w:keepNext w:val="0"/>
              <w:keepLines w:val="0"/>
              <w:widowControl/>
              <w:suppressLineNumbers w:val="0"/>
              <w:wordWrap/>
              <w:spacing w:line="240" w:lineRule="auto"/>
              <w:jc w:val="left"/>
              <w:textAlignment w:val="center"/>
              <w:rPr>
                <w:rFonts w:hint="eastAsia" w:ascii="Times New Roman" w:hAnsi="Times New Roman" w:eastAsia="宋体" w:cs="宋体"/>
                <w:i w:val="0"/>
                <w:iCs w:val="0"/>
                <w:color w:val="000000"/>
                <w:kern w:val="0"/>
                <w:sz w:val="21"/>
                <w:szCs w:val="21"/>
                <w:u w:val="none"/>
                <w:lang w:val="en-US" w:eastAsia="zh-CN" w:bidi="ar"/>
              </w:rPr>
            </w:pPr>
            <w:r>
              <w:rPr>
                <w:rFonts w:ascii="宋体" w:hAnsi="宋体" w:eastAsia="宋体" w:cs="宋体"/>
                <w:color w:val="000000"/>
                <w:kern w:val="0"/>
                <w:sz w:val="20"/>
                <w:szCs w:val="20"/>
                <w:lang w:val="en-US" w:eastAsia="zh-CN" w:bidi="ar"/>
              </w:rPr>
              <w:t>1.完成汽车制造端AI就绪数据集标准化评价及应用验证方法研究报告1份，报告至少包含以下内容：</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（1）汽车制造端高质量数据集的共性需求，明确其与一般生产数据、企业数据仓库、算法训练集之间的区别，形成适用范围和典型应用任务清单；</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（2）面向汽车制造场景的数据对象分类、样本粒度划分和任务边界描述方法；</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（3）面向汽车制造AI应用的评测方法和测试用例；</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2.形成数据集相关标准草案一份；</w:t>
            </w:r>
            <w:r>
              <w:rPr>
                <w:rFonts w:ascii="宋体" w:hAnsi="宋体" w:eastAsia="宋体" w:cs="宋体"/>
                <w:color w:val="000000"/>
                <w:kern w:val="0"/>
                <w:sz w:val="20"/>
                <w:szCs w:val="20"/>
                <w:lang w:val="en-US" w:eastAsia="zh-CN" w:bidi="ar"/>
              </w:rPr>
              <w:br w:type="textWrapping"/>
            </w:r>
            <w:r>
              <w:rPr>
                <w:rFonts w:ascii="宋体" w:hAnsi="宋体" w:eastAsia="宋体" w:cs="宋体"/>
                <w:color w:val="000000"/>
                <w:kern w:val="0"/>
                <w:sz w:val="20"/>
                <w:szCs w:val="20"/>
                <w:lang w:val="en-US" w:eastAsia="zh-CN" w:bidi="ar"/>
              </w:rPr>
              <w:t>3.课题相关论文1篇。</w:t>
            </w:r>
          </w:p>
        </w:tc>
        <w:tc>
          <w:tcPr>
            <w:tcW w:w="271" w:type="pct"/>
            <w:shd w:val="clear" w:color="auto" w:fill="auto"/>
            <w:tcMar>
              <w:left w:w="28" w:type="dxa"/>
              <w:right w:w="28" w:type="dxa"/>
            </w:tcMar>
            <w:vAlign w:val="center"/>
          </w:tcPr>
          <w:p w14:paraId="05F11464">
            <w:pPr>
              <w:keepNext w:val="0"/>
              <w:keepLines w:val="0"/>
              <w:pageBreakBefore w:val="0"/>
              <w:widowControl/>
              <w:suppressLineNumbers w:val="0"/>
              <w:kinsoku/>
              <w:wordWrap/>
              <w:overflowPunct/>
              <w:topLinePunct w:val="0"/>
              <w:autoSpaceDE/>
              <w:autoSpaceDN/>
              <w:bidi w:val="0"/>
              <w:snapToGrid w:val="0"/>
              <w:spacing w:before="79" w:beforeLines="25" w:after="79" w:afterLines="25"/>
              <w:jc w:val="center"/>
              <w:textAlignment w:val="top"/>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w:t>
            </w:r>
          </w:p>
        </w:tc>
      </w:tr>
    </w:tbl>
    <w:p w14:paraId="0BF8C3F4">
      <w:pPr>
        <w:jc w:val="left"/>
        <w:rPr>
          <w:rFonts w:ascii="Times New Roman" w:hAnsi="Times New Roman" w:eastAsia="宋体" w:cs="Times New Roman"/>
          <w:sz w:val="24"/>
          <w:szCs w:val="24"/>
        </w:rPr>
      </w:pPr>
    </w:p>
    <w:sectPr>
      <w:footerReference r:id="rId3" w:type="default"/>
      <w:pgSz w:w="16838" w:h="11906" w:orient="landscape"/>
      <w:pgMar w:top="1304" w:right="1440"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仿宋-简"/>
    <w:panose1 w:val="02010609060101010101"/>
    <w:charset w:val="86"/>
    <w:family w:val="auto"/>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微软雅黑">
    <w:altName w:val="方正雅意黑 GB18030L2"/>
    <w:panose1 w:val="020B0503020204020204"/>
    <w:charset w:val="86"/>
    <w:family w:val="auto"/>
    <w:pitch w:val="default"/>
    <w:sig w:usb0="00000000" w:usb1="00000000" w:usb2="00000016" w:usb3="00000000" w:csb0="0004001F" w:csb1="00000000"/>
  </w:font>
  <w:font w:name="方正雅意黑 GB18030L2">
    <w:panose1 w:val="02000500000000000000"/>
    <w:charset w:val="86"/>
    <w:family w:val="auto"/>
    <w:pitch w:val="default"/>
    <w:sig w:usb0="E00002FF" w:usb1="38CFFCFB" w:usb2="00000016" w:usb3="00000000" w:csb0="600401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07148">
    <w:pPr>
      <w:pStyle w:val="4"/>
      <w:keepNext w:val="0"/>
      <w:keepLines w:val="0"/>
      <w:pageBreakBefore w:val="0"/>
      <w:widowControl w:val="0"/>
      <w:kinsoku/>
      <w:wordWrap/>
      <w:overflowPunct/>
      <w:topLinePunct w:val="0"/>
      <w:autoSpaceDE/>
      <w:autoSpaceDN/>
      <w:bidi w:val="0"/>
      <w:adjustRightInd/>
      <w:snapToGrid w:val="0"/>
      <w:jc w:val="center"/>
      <w:textAlignment w:val="auto"/>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p w14:paraId="370E736A">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C8908"/>
    <w:multiLevelType w:val="singleLevel"/>
    <w:tmpl w:val="9DFC8908"/>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E70"/>
    <w:rsid w:val="00006497"/>
    <w:rsid w:val="000069BB"/>
    <w:rsid w:val="00010917"/>
    <w:rsid w:val="00014284"/>
    <w:rsid w:val="00014AA4"/>
    <w:rsid w:val="000269DA"/>
    <w:rsid w:val="000432D4"/>
    <w:rsid w:val="00045883"/>
    <w:rsid w:val="000562EA"/>
    <w:rsid w:val="00070937"/>
    <w:rsid w:val="00091AA4"/>
    <w:rsid w:val="000953AB"/>
    <w:rsid w:val="000A2CEE"/>
    <w:rsid w:val="000D45CF"/>
    <w:rsid w:val="000E1C05"/>
    <w:rsid w:val="000E6FE4"/>
    <w:rsid w:val="000E79B2"/>
    <w:rsid w:val="000F4BEB"/>
    <w:rsid w:val="001216EB"/>
    <w:rsid w:val="00125182"/>
    <w:rsid w:val="00126950"/>
    <w:rsid w:val="001346D1"/>
    <w:rsid w:val="001409E2"/>
    <w:rsid w:val="00140C26"/>
    <w:rsid w:val="00175E95"/>
    <w:rsid w:val="001951C2"/>
    <w:rsid w:val="001A48B5"/>
    <w:rsid w:val="001C4A12"/>
    <w:rsid w:val="001F309D"/>
    <w:rsid w:val="001F696B"/>
    <w:rsid w:val="00205248"/>
    <w:rsid w:val="00225840"/>
    <w:rsid w:val="00235068"/>
    <w:rsid w:val="00242CEE"/>
    <w:rsid w:val="00245BEB"/>
    <w:rsid w:val="002633CE"/>
    <w:rsid w:val="00280825"/>
    <w:rsid w:val="00283CD6"/>
    <w:rsid w:val="002845FD"/>
    <w:rsid w:val="00290CAF"/>
    <w:rsid w:val="00292D97"/>
    <w:rsid w:val="002A1B1A"/>
    <w:rsid w:val="002A5AA5"/>
    <w:rsid w:val="002B095B"/>
    <w:rsid w:val="002B6CEE"/>
    <w:rsid w:val="002C79C1"/>
    <w:rsid w:val="002E4034"/>
    <w:rsid w:val="00316E38"/>
    <w:rsid w:val="00325648"/>
    <w:rsid w:val="0033392E"/>
    <w:rsid w:val="00337057"/>
    <w:rsid w:val="0034203B"/>
    <w:rsid w:val="0035797B"/>
    <w:rsid w:val="00363D08"/>
    <w:rsid w:val="00370EA6"/>
    <w:rsid w:val="0037269E"/>
    <w:rsid w:val="003753A6"/>
    <w:rsid w:val="00396189"/>
    <w:rsid w:val="003A1BEB"/>
    <w:rsid w:val="003A4295"/>
    <w:rsid w:val="003A50F9"/>
    <w:rsid w:val="003A6B4E"/>
    <w:rsid w:val="003A76ED"/>
    <w:rsid w:val="003B0813"/>
    <w:rsid w:val="003C1420"/>
    <w:rsid w:val="003D0B12"/>
    <w:rsid w:val="003D7C07"/>
    <w:rsid w:val="004151F8"/>
    <w:rsid w:val="004206CE"/>
    <w:rsid w:val="0042113D"/>
    <w:rsid w:val="00422269"/>
    <w:rsid w:val="00430F6E"/>
    <w:rsid w:val="00445228"/>
    <w:rsid w:val="0045795B"/>
    <w:rsid w:val="004612C0"/>
    <w:rsid w:val="00487949"/>
    <w:rsid w:val="00491716"/>
    <w:rsid w:val="00494A77"/>
    <w:rsid w:val="00494FFB"/>
    <w:rsid w:val="004A5183"/>
    <w:rsid w:val="004C34EA"/>
    <w:rsid w:val="004D009C"/>
    <w:rsid w:val="004E6B73"/>
    <w:rsid w:val="004F3DAA"/>
    <w:rsid w:val="004F716B"/>
    <w:rsid w:val="005167AB"/>
    <w:rsid w:val="0052179D"/>
    <w:rsid w:val="00522BCA"/>
    <w:rsid w:val="0052798F"/>
    <w:rsid w:val="005401F5"/>
    <w:rsid w:val="00546C75"/>
    <w:rsid w:val="005473E8"/>
    <w:rsid w:val="00560665"/>
    <w:rsid w:val="0056268E"/>
    <w:rsid w:val="00562A22"/>
    <w:rsid w:val="00565F7C"/>
    <w:rsid w:val="00580E32"/>
    <w:rsid w:val="00581F8E"/>
    <w:rsid w:val="005913AE"/>
    <w:rsid w:val="005A0CD2"/>
    <w:rsid w:val="005B1B18"/>
    <w:rsid w:val="005B7E38"/>
    <w:rsid w:val="005B7F96"/>
    <w:rsid w:val="005C5573"/>
    <w:rsid w:val="005E777E"/>
    <w:rsid w:val="00602B90"/>
    <w:rsid w:val="00613F3F"/>
    <w:rsid w:val="006171D6"/>
    <w:rsid w:val="006207F0"/>
    <w:rsid w:val="00642108"/>
    <w:rsid w:val="006438EA"/>
    <w:rsid w:val="006463CC"/>
    <w:rsid w:val="00656145"/>
    <w:rsid w:val="00666FDC"/>
    <w:rsid w:val="006768EE"/>
    <w:rsid w:val="00683446"/>
    <w:rsid w:val="00684431"/>
    <w:rsid w:val="006919DF"/>
    <w:rsid w:val="00693865"/>
    <w:rsid w:val="006A2869"/>
    <w:rsid w:val="006A669F"/>
    <w:rsid w:val="006A77D2"/>
    <w:rsid w:val="006D2A16"/>
    <w:rsid w:val="00703E6F"/>
    <w:rsid w:val="00711654"/>
    <w:rsid w:val="0071627A"/>
    <w:rsid w:val="0074040A"/>
    <w:rsid w:val="00750AF4"/>
    <w:rsid w:val="00755F8F"/>
    <w:rsid w:val="00762712"/>
    <w:rsid w:val="0077373E"/>
    <w:rsid w:val="00790733"/>
    <w:rsid w:val="007A027D"/>
    <w:rsid w:val="007B22D4"/>
    <w:rsid w:val="007C1F7B"/>
    <w:rsid w:val="007C4ED5"/>
    <w:rsid w:val="007D45ED"/>
    <w:rsid w:val="007D4D7D"/>
    <w:rsid w:val="007D58BE"/>
    <w:rsid w:val="007D5A92"/>
    <w:rsid w:val="007D7AD3"/>
    <w:rsid w:val="007E49C2"/>
    <w:rsid w:val="007E65C8"/>
    <w:rsid w:val="007E739F"/>
    <w:rsid w:val="007F0CBF"/>
    <w:rsid w:val="007F4232"/>
    <w:rsid w:val="007F6242"/>
    <w:rsid w:val="00802857"/>
    <w:rsid w:val="00817C7C"/>
    <w:rsid w:val="00821740"/>
    <w:rsid w:val="00834576"/>
    <w:rsid w:val="00835E85"/>
    <w:rsid w:val="00841E19"/>
    <w:rsid w:val="008427E6"/>
    <w:rsid w:val="0085298A"/>
    <w:rsid w:val="0085799E"/>
    <w:rsid w:val="00873BFC"/>
    <w:rsid w:val="00873C6F"/>
    <w:rsid w:val="0087476C"/>
    <w:rsid w:val="00885B6F"/>
    <w:rsid w:val="008927AF"/>
    <w:rsid w:val="00895C8D"/>
    <w:rsid w:val="008A11AF"/>
    <w:rsid w:val="008A1B79"/>
    <w:rsid w:val="008A46D8"/>
    <w:rsid w:val="008B225D"/>
    <w:rsid w:val="008C1D38"/>
    <w:rsid w:val="008C2B2A"/>
    <w:rsid w:val="008D6089"/>
    <w:rsid w:val="008D62AD"/>
    <w:rsid w:val="008D7EB0"/>
    <w:rsid w:val="008F4B2A"/>
    <w:rsid w:val="00906789"/>
    <w:rsid w:val="00911374"/>
    <w:rsid w:val="00926FC0"/>
    <w:rsid w:val="0092798B"/>
    <w:rsid w:val="00931499"/>
    <w:rsid w:val="00935A39"/>
    <w:rsid w:val="00935FA2"/>
    <w:rsid w:val="009462CD"/>
    <w:rsid w:val="0096410E"/>
    <w:rsid w:val="00991929"/>
    <w:rsid w:val="009A41D4"/>
    <w:rsid w:val="009B3DAF"/>
    <w:rsid w:val="009B4BF2"/>
    <w:rsid w:val="009D618B"/>
    <w:rsid w:val="009D7024"/>
    <w:rsid w:val="009E6B63"/>
    <w:rsid w:val="009F48C5"/>
    <w:rsid w:val="009F50EC"/>
    <w:rsid w:val="00A022F1"/>
    <w:rsid w:val="00A03CA6"/>
    <w:rsid w:val="00A069AB"/>
    <w:rsid w:val="00A11020"/>
    <w:rsid w:val="00A134E0"/>
    <w:rsid w:val="00A22976"/>
    <w:rsid w:val="00A26DF5"/>
    <w:rsid w:val="00A26E5F"/>
    <w:rsid w:val="00A32482"/>
    <w:rsid w:val="00A402B4"/>
    <w:rsid w:val="00A67136"/>
    <w:rsid w:val="00A719AB"/>
    <w:rsid w:val="00A82607"/>
    <w:rsid w:val="00A85C40"/>
    <w:rsid w:val="00A9105B"/>
    <w:rsid w:val="00A9726F"/>
    <w:rsid w:val="00AA644F"/>
    <w:rsid w:val="00AA7501"/>
    <w:rsid w:val="00AB221F"/>
    <w:rsid w:val="00AB28FF"/>
    <w:rsid w:val="00AB5728"/>
    <w:rsid w:val="00AD09AA"/>
    <w:rsid w:val="00AD55F8"/>
    <w:rsid w:val="00B04E64"/>
    <w:rsid w:val="00B149A3"/>
    <w:rsid w:val="00B177D3"/>
    <w:rsid w:val="00B20D31"/>
    <w:rsid w:val="00B27075"/>
    <w:rsid w:val="00B32B2C"/>
    <w:rsid w:val="00B70AB7"/>
    <w:rsid w:val="00B74690"/>
    <w:rsid w:val="00B81A04"/>
    <w:rsid w:val="00B85606"/>
    <w:rsid w:val="00B87850"/>
    <w:rsid w:val="00B9099A"/>
    <w:rsid w:val="00B96698"/>
    <w:rsid w:val="00BA25C5"/>
    <w:rsid w:val="00BA5738"/>
    <w:rsid w:val="00BA6DD4"/>
    <w:rsid w:val="00BD4AA8"/>
    <w:rsid w:val="00BD5201"/>
    <w:rsid w:val="00BF4DA5"/>
    <w:rsid w:val="00BF6286"/>
    <w:rsid w:val="00C0285F"/>
    <w:rsid w:val="00C05049"/>
    <w:rsid w:val="00C14E89"/>
    <w:rsid w:val="00C16E69"/>
    <w:rsid w:val="00C34650"/>
    <w:rsid w:val="00C37056"/>
    <w:rsid w:val="00C4395B"/>
    <w:rsid w:val="00C44A78"/>
    <w:rsid w:val="00C45138"/>
    <w:rsid w:val="00C63757"/>
    <w:rsid w:val="00C639E3"/>
    <w:rsid w:val="00C66141"/>
    <w:rsid w:val="00C6774A"/>
    <w:rsid w:val="00C76A9A"/>
    <w:rsid w:val="00C90EF4"/>
    <w:rsid w:val="00CA0F1A"/>
    <w:rsid w:val="00CA7304"/>
    <w:rsid w:val="00CB42DE"/>
    <w:rsid w:val="00CB484A"/>
    <w:rsid w:val="00CC29D2"/>
    <w:rsid w:val="00CC3D6B"/>
    <w:rsid w:val="00CD7FD2"/>
    <w:rsid w:val="00CE316F"/>
    <w:rsid w:val="00CE47B8"/>
    <w:rsid w:val="00CE59CF"/>
    <w:rsid w:val="00CF1CD3"/>
    <w:rsid w:val="00CF33B7"/>
    <w:rsid w:val="00CF3CC7"/>
    <w:rsid w:val="00CF5B39"/>
    <w:rsid w:val="00CF7B1B"/>
    <w:rsid w:val="00D00FA5"/>
    <w:rsid w:val="00D0389D"/>
    <w:rsid w:val="00D03B8D"/>
    <w:rsid w:val="00D1563E"/>
    <w:rsid w:val="00D15A8B"/>
    <w:rsid w:val="00D23CFB"/>
    <w:rsid w:val="00D24A59"/>
    <w:rsid w:val="00D27386"/>
    <w:rsid w:val="00D41A19"/>
    <w:rsid w:val="00D53334"/>
    <w:rsid w:val="00D61E03"/>
    <w:rsid w:val="00D66E5F"/>
    <w:rsid w:val="00D756A1"/>
    <w:rsid w:val="00D866B9"/>
    <w:rsid w:val="00DC1813"/>
    <w:rsid w:val="00DC3750"/>
    <w:rsid w:val="00DF264A"/>
    <w:rsid w:val="00E01A0A"/>
    <w:rsid w:val="00E405E8"/>
    <w:rsid w:val="00E42A23"/>
    <w:rsid w:val="00E430F1"/>
    <w:rsid w:val="00E452A5"/>
    <w:rsid w:val="00E46B1E"/>
    <w:rsid w:val="00E46EA7"/>
    <w:rsid w:val="00E539E8"/>
    <w:rsid w:val="00E56E6C"/>
    <w:rsid w:val="00E63E0D"/>
    <w:rsid w:val="00E73BB7"/>
    <w:rsid w:val="00E80A3D"/>
    <w:rsid w:val="00E8614F"/>
    <w:rsid w:val="00E91BE5"/>
    <w:rsid w:val="00E9332C"/>
    <w:rsid w:val="00EA3531"/>
    <w:rsid w:val="00EB76EF"/>
    <w:rsid w:val="00ED14E3"/>
    <w:rsid w:val="00ED3173"/>
    <w:rsid w:val="00EE7C3E"/>
    <w:rsid w:val="00F03196"/>
    <w:rsid w:val="00F14E07"/>
    <w:rsid w:val="00F53B80"/>
    <w:rsid w:val="00F541DC"/>
    <w:rsid w:val="00F63D4F"/>
    <w:rsid w:val="00F750D4"/>
    <w:rsid w:val="00F82DE9"/>
    <w:rsid w:val="00F86DFC"/>
    <w:rsid w:val="00F87EB3"/>
    <w:rsid w:val="00F949BA"/>
    <w:rsid w:val="00F95C74"/>
    <w:rsid w:val="00FA1D07"/>
    <w:rsid w:val="00FA51A6"/>
    <w:rsid w:val="00FB448F"/>
    <w:rsid w:val="00FB5465"/>
    <w:rsid w:val="00FC6BCB"/>
    <w:rsid w:val="00FC79CB"/>
    <w:rsid w:val="00FC7DBB"/>
    <w:rsid w:val="00FE60E5"/>
    <w:rsid w:val="082810DB"/>
    <w:rsid w:val="0C8C212E"/>
    <w:rsid w:val="0FBD222C"/>
    <w:rsid w:val="1C8726B7"/>
    <w:rsid w:val="201E6C45"/>
    <w:rsid w:val="216D49AA"/>
    <w:rsid w:val="24DB0068"/>
    <w:rsid w:val="32E25230"/>
    <w:rsid w:val="367639AC"/>
    <w:rsid w:val="3B1814A5"/>
    <w:rsid w:val="3DF257B2"/>
    <w:rsid w:val="493214E4"/>
    <w:rsid w:val="4C123874"/>
    <w:rsid w:val="59AF0316"/>
    <w:rsid w:val="BDD31574"/>
    <w:rsid w:val="BF1E0DAC"/>
    <w:rsid w:val="ED96DB58"/>
    <w:rsid w:val="F77B4506"/>
    <w:rsid w:val="F9BF961E"/>
    <w:rsid w:val="FBFFA62D"/>
    <w:rsid w:val="FFBBCE4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7"/>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page number"/>
    <w:basedOn w:val="9"/>
    <w:qFormat/>
    <w:uiPriority w:val="0"/>
  </w:style>
  <w:style w:type="character" w:customStyle="1" w:styleId="12">
    <w:name w:val="页眉 字符"/>
    <w:basedOn w:val="9"/>
    <w:link w:val="5"/>
    <w:qFormat/>
    <w:uiPriority w:val="0"/>
    <w:rPr>
      <w:sz w:val="18"/>
      <w:szCs w:val="18"/>
    </w:rPr>
  </w:style>
  <w:style w:type="character" w:customStyle="1" w:styleId="13">
    <w:name w:val="页脚 字符"/>
    <w:basedOn w:val="9"/>
    <w:link w:val="4"/>
    <w:qFormat/>
    <w:uiPriority w:val="99"/>
    <w:rPr>
      <w:sz w:val="18"/>
      <w:szCs w:val="18"/>
    </w:rPr>
  </w:style>
  <w:style w:type="paragraph" w:styleId="14">
    <w:name w:val="List Paragraph"/>
    <w:basedOn w:val="1"/>
    <w:qFormat/>
    <w:uiPriority w:val="34"/>
    <w:pPr>
      <w:ind w:firstLine="420" w:firstLineChars="200"/>
    </w:pPr>
  </w:style>
  <w:style w:type="character" w:customStyle="1" w:styleId="15">
    <w:name w:val="fontstyle01"/>
    <w:basedOn w:val="9"/>
    <w:qFormat/>
    <w:uiPriority w:val="0"/>
    <w:rPr>
      <w:rFonts w:hint="eastAsia" w:ascii="黑体" w:hAnsi="黑体" w:eastAsia="黑体"/>
      <w:color w:val="000000"/>
      <w:sz w:val="32"/>
      <w:szCs w:val="32"/>
    </w:rPr>
  </w:style>
  <w:style w:type="character" w:customStyle="1" w:styleId="16">
    <w:name w:val="apple-converted-space"/>
    <w:basedOn w:val="9"/>
    <w:qFormat/>
    <w:uiPriority w:val="0"/>
  </w:style>
  <w:style w:type="character" w:customStyle="1" w:styleId="17">
    <w:name w:val="批注框文本 字符"/>
    <w:basedOn w:val="9"/>
    <w:link w:val="3"/>
    <w:semiHidden/>
    <w:qFormat/>
    <w:uiPriority w:val="99"/>
    <w:rPr>
      <w:sz w:val="18"/>
      <w:szCs w:val="18"/>
    </w:rPr>
  </w:style>
  <w:style w:type="character" w:customStyle="1" w:styleId="18">
    <w:name w:val="font31"/>
    <w:basedOn w:val="9"/>
    <w:qFormat/>
    <w:uiPriority w:val="0"/>
    <w:rPr>
      <w:rFonts w:hint="eastAsia" w:ascii="宋体" w:hAnsi="宋体" w:eastAsia="宋体" w:cs="宋体"/>
      <w:color w:val="000000"/>
      <w:sz w:val="24"/>
      <w:szCs w:val="24"/>
      <w:u w:val="none"/>
    </w:rPr>
  </w:style>
  <w:style w:type="character" w:customStyle="1" w:styleId="19">
    <w:name w:val="font61"/>
    <w:basedOn w:val="9"/>
    <w:qFormat/>
    <w:uiPriority w:val="0"/>
    <w:rPr>
      <w:rFonts w:hint="default" w:ascii="Times New Roman" w:hAnsi="Times New Roman" w:cs="Times New Roman"/>
      <w:color w:val="000000"/>
      <w:sz w:val="24"/>
      <w:szCs w:val="24"/>
      <w:u w:val="none"/>
    </w:rPr>
  </w:style>
  <w:style w:type="character" w:customStyle="1" w:styleId="20">
    <w:name w:val="font11"/>
    <w:basedOn w:val="9"/>
    <w:qFormat/>
    <w:uiPriority w:val="0"/>
    <w:rPr>
      <w:rFonts w:hint="eastAsia" w:ascii="宋体" w:hAnsi="宋体" w:eastAsia="宋体" w:cs="宋体"/>
      <w:color w:val="000000"/>
      <w:sz w:val="24"/>
      <w:szCs w:val="24"/>
      <w:u w:val="none"/>
    </w:rPr>
  </w:style>
  <w:style w:type="character" w:customStyle="1" w:styleId="21">
    <w:name w:val="font51"/>
    <w:basedOn w:val="9"/>
    <w:qFormat/>
    <w:uiPriority w:val="0"/>
    <w:rPr>
      <w:rFonts w:ascii="Arial" w:hAnsi="Arial" w:cs="Arial"/>
      <w:color w:val="000000"/>
      <w:sz w:val="24"/>
      <w:szCs w:val="24"/>
      <w:u w:val="none"/>
    </w:rPr>
  </w:style>
  <w:style w:type="character" w:customStyle="1" w:styleId="22">
    <w:name w:val="font81"/>
    <w:basedOn w:val="9"/>
    <w:qFormat/>
    <w:uiPriority w:val="0"/>
    <w:rPr>
      <w:rFonts w:hint="default" w:ascii="Times New Roman" w:hAnsi="Times New Roman" w:cs="Times New Roman"/>
      <w:color w:val="000000"/>
      <w:sz w:val="24"/>
      <w:szCs w:val="24"/>
      <w:u w:val="none"/>
    </w:rPr>
  </w:style>
  <w:style w:type="character" w:customStyle="1" w:styleId="23">
    <w:name w:val="font71"/>
    <w:basedOn w:val="9"/>
    <w:qFormat/>
    <w:uiPriority w:val="0"/>
    <w:rPr>
      <w:rFonts w:hint="eastAsia" w:ascii="宋体" w:hAnsi="宋体" w:eastAsia="宋体" w:cs="宋体"/>
      <w:color w:val="000000"/>
      <w:sz w:val="24"/>
      <w:szCs w:val="24"/>
      <w:u w:val="none"/>
    </w:rPr>
  </w:style>
  <w:style w:type="character" w:customStyle="1" w:styleId="24">
    <w:name w:val="font21"/>
    <w:basedOn w:val="9"/>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403</Words>
  <Characters>2299</Characters>
  <Lines>19</Lines>
  <Paragraphs>5</Paragraphs>
  <TotalTime>0</TotalTime>
  <ScaleCrop>false</ScaleCrop>
  <LinksUpToDate>false</LinksUpToDate>
  <CharactersWithSpaces>2697</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2018-03-13T21:51:00Z</dcterms:created>
  <dc:creator>PPPPP</dc:creator>
  <cp:lastModifiedBy>Tario</cp:lastModifiedBy>
  <cp:lastPrinted>2020-05-20T01:29:00Z</cp:lastPrinted>
  <dcterms:modified xsi:type="dcterms:W3CDTF">2026-09-20T09:07:56Z</dcterms:modified>
  <cp:revision>255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B627C25EC92A48859DD4F84552588F39</vt:lpwstr>
  </property>
</Properties>
</file>