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0D8E" w14:textId="77777777" w:rsidR="000A2CEE" w:rsidRPr="000562EA" w:rsidRDefault="00000000">
      <w:pPr>
        <w:spacing w:beforeLines="50" w:before="156" w:afterLines="50" w:after="156" w:line="360" w:lineRule="auto"/>
        <w:rPr>
          <w:rFonts w:ascii="仿宋_GB2312" w:eastAsia="仿宋_GB2312" w:hAnsi="仿宋" w:cs="Times New Roman"/>
          <w:b/>
          <w:sz w:val="24"/>
          <w:szCs w:val="24"/>
        </w:rPr>
      </w:pPr>
      <w:r w:rsidRPr="000562EA">
        <w:rPr>
          <w:rFonts w:ascii="仿宋_GB2312" w:eastAsia="仿宋_GB2312" w:hAnsi="仿宋" w:cs="Times New Roman"/>
          <w:b/>
          <w:sz w:val="24"/>
          <w:szCs w:val="24"/>
        </w:rPr>
        <w:t>附件1  2021年</w:t>
      </w:r>
      <w:r w:rsidRPr="000562EA">
        <w:rPr>
          <w:rFonts w:ascii="仿宋_GB2312" w:eastAsia="仿宋_GB2312" w:hAnsi="仿宋" w:cs="Times New Roman" w:hint="eastAsia"/>
          <w:b/>
          <w:sz w:val="24"/>
          <w:szCs w:val="24"/>
        </w:rPr>
        <w:t>汽车标准化</w:t>
      </w:r>
      <w:r w:rsidRPr="000562EA">
        <w:rPr>
          <w:rFonts w:ascii="仿宋_GB2312" w:eastAsia="仿宋_GB2312" w:hAnsi="仿宋" w:cs="Times New Roman"/>
          <w:b/>
          <w:sz w:val="24"/>
          <w:szCs w:val="24"/>
        </w:rPr>
        <w:t>公益性开放课题申请列表</w:t>
      </w:r>
    </w:p>
    <w:tbl>
      <w:tblPr>
        <w:tblStyle w:val="aa"/>
        <w:tblW w:w="5412" w:type="pct"/>
        <w:jc w:val="center"/>
        <w:tblLook w:val="04A0" w:firstRow="1" w:lastRow="0" w:firstColumn="1" w:lastColumn="0" w:noHBand="0" w:noVBand="1"/>
      </w:tblPr>
      <w:tblGrid>
        <w:gridCol w:w="789"/>
        <w:gridCol w:w="896"/>
        <w:gridCol w:w="2936"/>
        <w:gridCol w:w="4575"/>
        <w:gridCol w:w="5063"/>
        <w:gridCol w:w="1083"/>
      </w:tblGrid>
      <w:tr w:rsidR="000A2CEE" w:rsidRPr="000562EA" w14:paraId="445C9253" w14:textId="77777777">
        <w:trPr>
          <w:trHeight w:val="620"/>
          <w:tblHeader/>
          <w:jc w:val="center"/>
        </w:trPr>
        <w:tc>
          <w:tcPr>
            <w:tcW w:w="257" w:type="pct"/>
            <w:shd w:val="clear" w:color="auto" w:fill="auto"/>
            <w:vAlign w:val="center"/>
          </w:tcPr>
          <w:p w14:paraId="180FEA3D"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序号</w:t>
            </w:r>
          </w:p>
        </w:tc>
        <w:tc>
          <w:tcPr>
            <w:tcW w:w="292" w:type="pct"/>
            <w:vAlign w:val="center"/>
          </w:tcPr>
          <w:p w14:paraId="3599DDFC"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领域</w:t>
            </w:r>
          </w:p>
        </w:tc>
        <w:tc>
          <w:tcPr>
            <w:tcW w:w="957" w:type="pct"/>
            <w:shd w:val="clear" w:color="auto" w:fill="auto"/>
            <w:vAlign w:val="center"/>
          </w:tcPr>
          <w:p w14:paraId="6AE5CC62"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课题名称</w:t>
            </w:r>
          </w:p>
        </w:tc>
        <w:tc>
          <w:tcPr>
            <w:tcW w:w="1491" w:type="pct"/>
            <w:shd w:val="clear" w:color="auto" w:fill="auto"/>
            <w:vAlign w:val="center"/>
          </w:tcPr>
          <w:p w14:paraId="0CDEC284"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研究目标</w:t>
            </w:r>
          </w:p>
        </w:tc>
        <w:tc>
          <w:tcPr>
            <w:tcW w:w="1650" w:type="pct"/>
            <w:shd w:val="clear" w:color="auto" w:fill="auto"/>
            <w:vAlign w:val="center"/>
          </w:tcPr>
          <w:p w14:paraId="58D8FF9E"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考核指标</w:t>
            </w:r>
          </w:p>
        </w:tc>
        <w:tc>
          <w:tcPr>
            <w:tcW w:w="353" w:type="pct"/>
            <w:shd w:val="clear" w:color="auto" w:fill="auto"/>
            <w:vAlign w:val="center"/>
          </w:tcPr>
          <w:p w14:paraId="17D33D0C"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b/>
                <w:bCs/>
                <w:sz w:val="24"/>
                <w:szCs w:val="24"/>
              </w:rPr>
              <w:t>金额</w:t>
            </w:r>
          </w:p>
          <w:p w14:paraId="1DD9B760" w14:textId="77777777" w:rsidR="000A2CEE" w:rsidRPr="000562EA" w:rsidRDefault="00000000">
            <w:pPr>
              <w:jc w:val="center"/>
              <w:rPr>
                <w:rFonts w:ascii="Times New Roman" w:hAnsi="Times New Roman" w:cs="Times New Roman"/>
                <w:b/>
                <w:bCs/>
                <w:sz w:val="24"/>
                <w:szCs w:val="24"/>
              </w:rPr>
            </w:pPr>
            <w:r w:rsidRPr="000562EA">
              <w:rPr>
                <w:rFonts w:ascii="Times New Roman" w:hAnsi="Times New Roman" w:cs="Times New Roman" w:hint="eastAsia"/>
                <w:b/>
                <w:bCs/>
                <w:sz w:val="24"/>
                <w:szCs w:val="24"/>
              </w:rPr>
              <w:t>（万元）</w:t>
            </w:r>
          </w:p>
        </w:tc>
      </w:tr>
      <w:tr w:rsidR="000A2CEE" w:rsidRPr="000562EA" w14:paraId="1DF5E2CF" w14:textId="77777777">
        <w:trPr>
          <w:jc w:val="center"/>
        </w:trPr>
        <w:tc>
          <w:tcPr>
            <w:tcW w:w="257" w:type="pct"/>
            <w:shd w:val="clear" w:color="auto" w:fill="auto"/>
            <w:vAlign w:val="center"/>
          </w:tcPr>
          <w:p w14:paraId="2E6659B0"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278B7F1E"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智能网联</w:t>
            </w:r>
          </w:p>
        </w:tc>
        <w:tc>
          <w:tcPr>
            <w:tcW w:w="957" w:type="pct"/>
            <w:shd w:val="clear" w:color="auto" w:fill="auto"/>
            <w:vAlign w:val="center"/>
          </w:tcPr>
          <w:p w14:paraId="2D9874FF"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智能网联汽车量子通信技术及其安全应用标准化研究</w:t>
            </w:r>
          </w:p>
        </w:tc>
        <w:tc>
          <w:tcPr>
            <w:tcW w:w="1491" w:type="pct"/>
            <w:shd w:val="clear" w:color="auto" w:fill="auto"/>
            <w:vAlign w:val="center"/>
          </w:tcPr>
          <w:p w14:paraId="4CCD1EF9"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将量子通信技术与智能网联汽车两大关键技术领域融合开展研究探索，核心研究内容围绕基于量子通信的身份认证及加密技术展开。</w:t>
            </w:r>
          </w:p>
          <w:p w14:paraId="742A031B"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研究基于量子通信技术下的智能网联汽车消息数据在传输时不被伪造、篡改、重放攻击等以确保信息安全，评估智能网联汽车运行场景下量子密钥服务可靠性和安全性，同时梳理明确其标准化价值。</w:t>
            </w:r>
          </w:p>
        </w:tc>
        <w:tc>
          <w:tcPr>
            <w:tcW w:w="1650" w:type="pct"/>
            <w:shd w:val="clear" w:color="auto" w:fill="auto"/>
            <w:vAlign w:val="center"/>
          </w:tcPr>
          <w:p w14:paraId="0AC61C0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完成</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份智能网联汽车（</w:t>
            </w:r>
            <w:r w:rsidRPr="000562EA">
              <w:rPr>
                <w:rFonts w:ascii="Times New Roman" w:hAnsi="Times New Roman" w:cs="Times New Roman" w:hint="eastAsia"/>
                <w:sz w:val="24"/>
                <w:szCs w:val="24"/>
              </w:rPr>
              <w:t xml:space="preserve">ICV) </w:t>
            </w:r>
            <w:r w:rsidRPr="000562EA">
              <w:rPr>
                <w:rFonts w:ascii="Times New Roman" w:hAnsi="Times New Roman" w:cs="Times New Roman" w:hint="eastAsia"/>
                <w:sz w:val="24"/>
                <w:szCs w:val="24"/>
              </w:rPr>
              <w:t>量子通信技术及其安全应用标准化前瞻研究的行业报告，包括但不限于：</w:t>
            </w:r>
          </w:p>
          <w:p w14:paraId="6D2EA7F0"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a</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ICV</w:t>
            </w:r>
            <w:r w:rsidRPr="000562EA">
              <w:rPr>
                <w:rFonts w:ascii="Times New Roman" w:hAnsi="Times New Roman" w:cs="Times New Roman" w:hint="eastAsia"/>
                <w:sz w:val="24"/>
                <w:szCs w:val="24"/>
              </w:rPr>
              <w:t>量子通信技术及其安全应用行业发展背景及现状调研分析</w:t>
            </w:r>
            <w:r w:rsidRPr="000562EA">
              <w:rPr>
                <w:rFonts w:ascii="Times New Roman" w:hAnsi="Times New Roman" w:cs="Times New Roman" w:hint="eastAsia"/>
                <w:sz w:val="24"/>
                <w:szCs w:val="24"/>
              </w:rPr>
              <w:t>;</w:t>
            </w:r>
          </w:p>
          <w:p w14:paraId="31ED892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b</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ICV</w:t>
            </w:r>
            <w:r w:rsidRPr="000562EA">
              <w:rPr>
                <w:rFonts w:ascii="Times New Roman" w:hAnsi="Times New Roman" w:cs="Times New Roman" w:hint="eastAsia"/>
                <w:sz w:val="24"/>
                <w:szCs w:val="24"/>
              </w:rPr>
              <w:t>量子通信技术及其安全加密技术路径梳理分析</w:t>
            </w:r>
            <w:r w:rsidRPr="000562EA">
              <w:rPr>
                <w:rFonts w:ascii="Times New Roman" w:hAnsi="Times New Roman" w:cs="Times New Roman" w:hint="eastAsia"/>
                <w:sz w:val="24"/>
                <w:szCs w:val="24"/>
              </w:rPr>
              <w:t>;  </w:t>
            </w:r>
          </w:p>
          <w:p w14:paraId="00B2F3BD"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c</w:t>
            </w:r>
            <w:r w:rsidRPr="000562EA">
              <w:rPr>
                <w:rFonts w:ascii="Times New Roman" w:hAnsi="Times New Roman" w:cs="Times New Roman" w:hint="eastAsia"/>
                <w:sz w:val="24"/>
                <w:szCs w:val="24"/>
              </w:rPr>
              <w:t>）提出一套</w:t>
            </w:r>
            <w:r w:rsidRPr="000562EA">
              <w:rPr>
                <w:rFonts w:ascii="Times New Roman" w:hAnsi="Times New Roman" w:cs="Times New Roman" w:hint="eastAsia"/>
                <w:sz w:val="24"/>
                <w:szCs w:val="24"/>
              </w:rPr>
              <w:t>ICV</w:t>
            </w:r>
            <w:r w:rsidRPr="000562EA">
              <w:rPr>
                <w:rFonts w:ascii="Times New Roman" w:hAnsi="Times New Roman" w:cs="Times New Roman" w:hint="eastAsia"/>
                <w:sz w:val="24"/>
                <w:szCs w:val="24"/>
              </w:rPr>
              <w:t>量子通信安全加密技术的实施方案并开展验证；</w:t>
            </w:r>
          </w:p>
          <w:p w14:paraId="6C3D3BF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d</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ICV</w:t>
            </w:r>
            <w:r w:rsidRPr="000562EA">
              <w:rPr>
                <w:rFonts w:ascii="Times New Roman" w:hAnsi="Times New Roman" w:cs="Times New Roman" w:hint="eastAsia"/>
                <w:sz w:val="24"/>
                <w:szCs w:val="24"/>
              </w:rPr>
              <w:t>量子通信技术及其安全应用标准化情况梳理及建议等。</w:t>
            </w:r>
          </w:p>
          <w:p w14:paraId="0432C702"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2B094702" w14:textId="7345BCDB"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t>6</w:t>
            </w:r>
          </w:p>
        </w:tc>
      </w:tr>
      <w:tr w:rsidR="000A2CEE" w:rsidRPr="000562EA" w14:paraId="7C3006E5" w14:textId="77777777">
        <w:trPr>
          <w:jc w:val="center"/>
        </w:trPr>
        <w:tc>
          <w:tcPr>
            <w:tcW w:w="257" w:type="pct"/>
            <w:shd w:val="clear" w:color="auto" w:fill="auto"/>
            <w:vAlign w:val="center"/>
          </w:tcPr>
          <w:p w14:paraId="7D0AD2D2"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2346C843"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智能网联</w:t>
            </w:r>
          </w:p>
        </w:tc>
        <w:tc>
          <w:tcPr>
            <w:tcW w:w="957" w:type="pct"/>
            <w:shd w:val="clear" w:color="auto" w:fill="auto"/>
            <w:vAlign w:val="center"/>
          </w:tcPr>
          <w:p w14:paraId="6D7D837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智能网联汽车</w:t>
            </w:r>
            <w:r w:rsidRPr="000562EA">
              <w:rPr>
                <w:rFonts w:ascii="Times New Roman" w:hAnsi="Times New Roman" w:cs="Times New Roman" w:hint="eastAsia"/>
                <w:sz w:val="24"/>
                <w:szCs w:val="24"/>
              </w:rPr>
              <w:t xml:space="preserve"> </w:t>
            </w:r>
            <w:r w:rsidRPr="000562EA">
              <w:rPr>
                <w:rFonts w:ascii="Times New Roman" w:hAnsi="Times New Roman" w:cs="Times New Roman" w:hint="eastAsia"/>
                <w:sz w:val="24"/>
                <w:szCs w:val="24"/>
              </w:rPr>
              <w:t>设计运行条件（</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）分级研究</w:t>
            </w:r>
          </w:p>
        </w:tc>
        <w:tc>
          <w:tcPr>
            <w:tcW w:w="1491" w:type="pct"/>
            <w:shd w:val="clear" w:color="auto" w:fill="auto"/>
            <w:vAlign w:val="center"/>
          </w:tcPr>
          <w:p w14:paraId="032A2163"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通过研究设计运行条件分级方法，明确设计运行条件中关键要素的分级界限，区分自动驾驶系统应对外部环境复杂性的能力。</w:t>
            </w:r>
          </w:p>
        </w:tc>
        <w:tc>
          <w:tcPr>
            <w:tcW w:w="1650" w:type="pct"/>
            <w:shd w:val="clear" w:color="auto" w:fill="auto"/>
            <w:vAlign w:val="center"/>
          </w:tcPr>
          <w:p w14:paraId="024F97D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．设计运行条件（</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）分级报告一份，内容至少包含：</w:t>
            </w:r>
          </w:p>
          <w:p w14:paraId="428050B9"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a</w:t>
            </w:r>
            <w:r w:rsidRPr="000562EA">
              <w:rPr>
                <w:rFonts w:ascii="Times New Roman" w:hAnsi="Times New Roman" w:cs="Times New Roman" w:hint="eastAsia"/>
                <w:sz w:val="24"/>
                <w:szCs w:val="24"/>
              </w:rPr>
              <w:t>）完整的</w:t>
            </w:r>
            <w:r w:rsidRPr="000562EA">
              <w:rPr>
                <w:rFonts w:ascii="Times New Roman" w:hAnsi="Times New Roman" w:cs="Times New Roman" w:hint="eastAsia"/>
                <w:sz w:val="24"/>
                <w:szCs w:val="24"/>
              </w:rPr>
              <w:t>3</w:t>
            </w:r>
            <w:r w:rsidRPr="000562EA">
              <w:rPr>
                <w:rFonts w:ascii="Times New Roman" w:hAnsi="Times New Roman" w:cs="Times New Roman" w:hint="eastAsia"/>
                <w:sz w:val="24"/>
                <w:szCs w:val="24"/>
              </w:rPr>
              <w:t>级及以上自动驾驶系统</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分级逻辑；</w:t>
            </w:r>
          </w:p>
          <w:p w14:paraId="4FA5963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b</w:t>
            </w:r>
            <w:r w:rsidRPr="000562EA">
              <w:rPr>
                <w:rFonts w:ascii="Times New Roman" w:hAnsi="Times New Roman" w:cs="Times New Roman" w:hint="eastAsia"/>
                <w:sz w:val="24"/>
                <w:szCs w:val="24"/>
              </w:rPr>
              <w:t>）天气、道路条件、速度、邻区复杂度等</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关键细分维度分级逻辑；</w:t>
            </w:r>
          </w:p>
          <w:p w14:paraId="1E811D2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c</w:t>
            </w:r>
            <w:r w:rsidRPr="000562EA">
              <w:rPr>
                <w:rFonts w:ascii="Times New Roman" w:hAnsi="Times New Roman" w:cs="Times New Roman" w:hint="eastAsia"/>
                <w:sz w:val="24"/>
                <w:szCs w:val="24"/>
              </w:rPr>
              <w:t>）现有主流自动驾驶功能</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情况调研</w:t>
            </w:r>
          </w:p>
          <w:p w14:paraId="5A47C166"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ODC</w:t>
            </w:r>
            <w:r w:rsidRPr="000562EA">
              <w:rPr>
                <w:rFonts w:ascii="Times New Roman" w:hAnsi="Times New Roman" w:cs="Times New Roman" w:hint="eastAsia"/>
                <w:sz w:val="24"/>
                <w:szCs w:val="24"/>
              </w:rPr>
              <w:t>分级相关论文</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w:t>
            </w:r>
          </w:p>
        </w:tc>
        <w:tc>
          <w:tcPr>
            <w:tcW w:w="353" w:type="pct"/>
            <w:shd w:val="clear" w:color="auto" w:fill="auto"/>
            <w:vAlign w:val="center"/>
          </w:tcPr>
          <w:p w14:paraId="0DD33F4C" w14:textId="09D48E6B"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t>4</w:t>
            </w:r>
          </w:p>
        </w:tc>
      </w:tr>
      <w:tr w:rsidR="000A2CEE" w:rsidRPr="000562EA" w14:paraId="45D11BCE" w14:textId="77777777">
        <w:trPr>
          <w:jc w:val="center"/>
        </w:trPr>
        <w:tc>
          <w:tcPr>
            <w:tcW w:w="257" w:type="pct"/>
            <w:shd w:val="clear" w:color="auto" w:fill="auto"/>
            <w:vAlign w:val="center"/>
          </w:tcPr>
          <w:p w14:paraId="5985798C"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7094E186"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电动汽车</w:t>
            </w:r>
            <w:r w:rsidRPr="000562EA">
              <w:rPr>
                <w:rFonts w:ascii="Times New Roman" w:hAnsi="Times New Roman" w:cs="Times New Roman" w:hint="eastAsia"/>
                <w:sz w:val="24"/>
                <w:szCs w:val="24"/>
              </w:rPr>
              <w:lastRenderedPageBreak/>
              <w:t>充换电</w:t>
            </w:r>
          </w:p>
        </w:tc>
        <w:tc>
          <w:tcPr>
            <w:tcW w:w="957" w:type="pct"/>
            <w:shd w:val="clear" w:color="auto" w:fill="auto"/>
            <w:vAlign w:val="center"/>
          </w:tcPr>
          <w:p w14:paraId="1A9CC093"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lastRenderedPageBreak/>
              <w:t>电动汽车无线充电互操作判定准确性提升方法研究</w:t>
            </w:r>
          </w:p>
        </w:tc>
        <w:tc>
          <w:tcPr>
            <w:tcW w:w="1491" w:type="pct"/>
            <w:shd w:val="clear" w:color="auto" w:fill="auto"/>
            <w:vAlign w:val="center"/>
          </w:tcPr>
          <w:p w14:paraId="0A949AA7"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解决端口阻抗法的偏差与误判问题，研究互操作评价准确性提升方法，具体包括端</w:t>
            </w:r>
            <w:r w:rsidRPr="000562EA">
              <w:rPr>
                <w:rFonts w:ascii="Times New Roman" w:hAnsi="Times New Roman" w:cs="Times New Roman" w:hint="eastAsia"/>
                <w:sz w:val="24"/>
                <w:szCs w:val="24"/>
              </w:rPr>
              <w:lastRenderedPageBreak/>
              <w:t>口阻抗映射与互操作性关联表征模型研究、阻抗测量精度提升方法研究与阻抗边界容忍区域确定方法研究，提升互操作评价准确性，进而优化</w:t>
            </w:r>
            <w:r w:rsidRPr="000562EA">
              <w:rPr>
                <w:rFonts w:ascii="Times New Roman" w:hAnsi="Times New Roman" w:cs="Times New Roman" w:hint="eastAsia"/>
                <w:sz w:val="24"/>
                <w:szCs w:val="24"/>
              </w:rPr>
              <w:t>GB/T 38775.7</w:t>
            </w:r>
            <w:r w:rsidRPr="000562EA">
              <w:rPr>
                <w:rFonts w:ascii="Times New Roman" w:hAnsi="Times New Roman" w:cs="Times New Roman" w:hint="eastAsia"/>
                <w:sz w:val="24"/>
                <w:szCs w:val="24"/>
              </w:rPr>
              <w:t>中提出的测试方法，并满足行业测试和标准化进程的需求。</w:t>
            </w:r>
          </w:p>
        </w:tc>
        <w:tc>
          <w:tcPr>
            <w:tcW w:w="1650" w:type="pct"/>
            <w:shd w:val="clear" w:color="auto" w:fill="auto"/>
            <w:vAlign w:val="center"/>
          </w:tcPr>
          <w:p w14:paraId="01FDA49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lastRenderedPageBreak/>
              <w:t>1</w:t>
            </w:r>
            <w:r w:rsidRPr="000562EA">
              <w:rPr>
                <w:rFonts w:ascii="Times New Roman" w:hAnsi="Times New Roman" w:cs="Times New Roman"/>
                <w:sz w:val="24"/>
                <w:szCs w:val="24"/>
              </w:rPr>
              <w:t>.</w:t>
            </w:r>
            <w:r w:rsidRPr="000562EA">
              <w:rPr>
                <w:rFonts w:ascii="Times New Roman" w:hAnsi="Times New Roman" w:cs="Times New Roman" w:hint="eastAsia"/>
                <w:sz w:val="24"/>
                <w:szCs w:val="24"/>
              </w:rPr>
              <w:t>《电动汽车无线充电互操作评价准确性提升方法研究报告》；</w:t>
            </w:r>
          </w:p>
          <w:p w14:paraId="7A9F862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lastRenderedPageBreak/>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国家标准《电动汽车无线充电系统</w:t>
            </w:r>
            <w:r w:rsidRPr="000562EA">
              <w:rPr>
                <w:rFonts w:ascii="Times New Roman" w:hAnsi="Times New Roman" w:cs="Times New Roman" w:hint="eastAsia"/>
                <w:sz w:val="24"/>
                <w:szCs w:val="24"/>
              </w:rPr>
              <w:t xml:space="preserve"> </w:t>
            </w:r>
            <w:r w:rsidRPr="000562EA">
              <w:rPr>
                <w:rFonts w:ascii="Times New Roman" w:hAnsi="Times New Roman" w:cs="Times New Roman" w:hint="eastAsia"/>
                <w:sz w:val="24"/>
                <w:szCs w:val="24"/>
              </w:rPr>
              <w:t>第</w:t>
            </w:r>
            <w:r w:rsidRPr="000562EA">
              <w:rPr>
                <w:rFonts w:ascii="Times New Roman" w:hAnsi="Times New Roman" w:cs="Times New Roman" w:hint="eastAsia"/>
                <w:sz w:val="24"/>
                <w:szCs w:val="24"/>
              </w:rPr>
              <w:t>7</w:t>
            </w:r>
            <w:r w:rsidRPr="000562EA">
              <w:rPr>
                <w:rFonts w:ascii="Times New Roman" w:hAnsi="Times New Roman" w:cs="Times New Roman" w:hint="eastAsia"/>
                <w:sz w:val="24"/>
                <w:szCs w:val="24"/>
              </w:rPr>
              <w:t>部分：互操作性要求及测试</w:t>
            </w:r>
            <w:r w:rsidRPr="000562EA">
              <w:rPr>
                <w:rFonts w:ascii="Times New Roman" w:hAnsi="Times New Roman" w:cs="Times New Roman" w:hint="eastAsia"/>
                <w:sz w:val="24"/>
                <w:szCs w:val="24"/>
              </w:rPr>
              <w:t xml:space="preserve"> </w:t>
            </w:r>
            <w:r w:rsidRPr="000562EA">
              <w:rPr>
                <w:rFonts w:ascii="Times New Roman" w:hAnsi="Times New Roman" w:cs="Times New Roman" w:hint="eastAsia"/>
                <w:sz w:val="24"/>
                <w:szCs w:val="24"/>
              </w:rPr>
              <w:t>车辆端》修订建议报告；</w:t>
            </w:r>
          </w:p>
          <w:p w14:paraId="54EB3FF8"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6001F2EB" w14:textId="4E711A69"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0A2CEE" w:rsidRPr="000562EA" w14:paraId="002966D6" w14:textId="77777777">
        <w:trPr>
          <w:jc w:val="center"/>
        </w:trPr>
        <w:tc>
          <w:tcPr>
            <w:tcW w:w="257" w:type="pct"/>
            <w:shd w:val="clear" w:color="auto" w:fill="auto"/>
            <w:vAlign w:val="center"/>
          </w:tcPr>
          <w:p w14:paraId="02248009"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4D5096B6"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电动汽车充换电</w:t>
            </w:r>
          </w:p>
        </w:tc>
        <w:tc>
          <w:tcPr>
            <w:tcW w:w="957" w:type="pct"/>
            <w:shd w:val="clear" w:color="auto" w:fill="auto"/>
            <w:vAlign w:val="center"/>
          </w:tcPr>
          <w:p w14:paraId="27B29BDD" w14:textId="4F3C4E15"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电动商用车车载换电系统互换性及安全性标准化研究</w:t>
            </w:r>
          </w:p>
        </w:tc>
        <w:tc>
          <w:tcPr>
            <w:tcW w:w="1491" w:type="pct"/>
            <w:shd w:val="clear" w:color="auto" w:fill="auto"/>
            <w:vAlign w:val="center"/>
          </w:tcPr>
          <w:p w14:paraId="0A122C4E"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未来</w:t>
            </w:r>
            <w:r w:rsidRPr="000562EA">
              <w:rPr>
                <w:rFonts w:ascii="Times New Roman" w:hAnsi="Times New Roman" w:cs="Times New Roman" w:hint="eastAsia"/>
                <w:sz w:val="24"/>
                <w:szCs w:val="24"/>
              </w:rPr>
              <w:t>5-10</w:t>
            </w:r>
            <w:r w:rsidRPr="000562EA">
              <w:rPr>
                <w:rFonts w:ascii="Times New Roman" w:hAnsi="Times New Roman" w:cs="Times New Roman" w:hint="eastAsia"/>
                <w:sz w:val="24"/>
                <w:szCs w:val="24"/>
              </w:rPr>
              <w:t>年国内外电动商用车换电需求及市场趋势分析；</w:t>
            </w:r>
          </w:p>
          <w:p w14:paraId="763A5698"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电动商用车换电互换性影响因素及测试方法研究；</w:t>
            </w:r>
          </w:p>
          <w:p w14:paraId="3718F02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电动商用车换电系统关键零部件评价方法研究；</w:t>
            </w:r>
          </w:p>
          <w:p w14:paraId="52C176B5"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4.</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电动商用车换电安全性影响因素分析及标准化方案研究。</w:t>
            </w:r>
          </w:p>
        </w:tc>
        <w:tc>
          <w:tcPr>
            <w:tcW w:w="1650" w:type="pct"/>
            <w:shd w:val="clear" w:color="auto" w:fill="auto"/>
            <w:vAlign w:val="center"/>
          </w:tcPr>
          <w:p w14:paraId="62F3F197"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提出国内外电动商用车换电市场发展研究报告</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w:t>
            </w:r>
          </w:p>
          <w:p w14:paraId="4388270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形成电动商用车换电互换性及安全性研究报告</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篇，并提出相关标准化建议；</w:t>
            </w:r>
          </w:p>
          <w:p w14:paraId="594D9347"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1017E7EF"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5</w:t>
            </w:r>
          </w:p>
        </w:tc>
      </w:tr>
      <w:tr w:rsidR="000A2CEE" w:rsidRPr="000562EA" w14:paraId="14851BA1" w14:textId="77777777">
        <w:trPr>
          <w:jc w:val="center"/>
        </w:trPr>
        <w:tc>
          <w:tcPr>
            <w:tcW w:w="257" w:type="pct"/>
            <w:shd w:val="clear" w:color="auto" w:fill="auto"/>
            <w:vAlign w:val="center"/>
          </w:tcPr>
          <w:p w14:paraId="4F5ADD42"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6BE70BAF"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电动汽车动力电池</w:t>
            </w:r>
          </w:p>
        </w:tc>
        <w:tc>
          <w:tcPr>
            <w:tcW w:w="957" w:type="pct"/>
            <w:shd w:val="clear" w:color="auto" w:fill="auto"/>
            <w:vAlign w:val="center"/>
          </w:tcPr>
          <w:p w14:paraId="19B83795"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动力电池热失控触发方法研究</w:t>
            </w:r>
          </w:p>
        </w:tc>
        <w:tc>
          <w:tcPr>
            <w:tcW w:w="1491" w:type="pct"/>
            <w:shd w:val="clear" w:color="auto" w:fill="auto"/>
            <w:vAlign w:val="center"/>
          </w:tcPr>
          <w:p w14:paraId="4B38FE1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sz w:val="24"/>
                <w:szCs w:val="24"/>
              </w:rPr>
              <w:t xml:space="preserve">1. </w:t>
            </w:r>
            <w:r w:rsidRPr="000562EA">
              <w:rPr>
                <w:rFonts w:ascii="Times New Roman" w:hAnsi="Times New Roman" w:cs="Times New Roman" w:hint="eastAsia"/>
                <w:sz w:val="24"/>
                <w:szCs w:val="24"/>
              </w:rPr>
              <w:t>从可重复性、样品改装程度、样品运输、引入能量、适用电池种类等多个角度全面对比分析国内外标准法规中热扩散触发方法，并提供相应的支撑数据</w:t>
            </w:r>
          </w:p>
          <w:p w14:paraId="64794DBD"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研究固态、半固态电池，应用新型复合集流体电池，</w:t>
            </w:r>
            <w:r w:rsidRPr="000562EA">
              <w:rPr>
                <w:rFonts w:ascii="Times New Roman" w:hAnsi="Times New Roman" w:cs="Times New Roman" w:hint="eastAsia"/>
                <w:sz w:val="24"/>
                <w:szCs w:val="24"/>
              </w:rPr>
              <w:t>CTC</w:t>
            </w:r>
            <w:r w:rsidRPr="000562EA">
              <w:rPr>
                <w:rFonts w:ascii="Times New Roman" w:hAnsi="Times New Roman" w:cs="Times New Roman" w:hint="eastAsia"/>
                <w:sz w:val="24"/>
                <w:szCs w:val="24"/>
              </w:rPr>
              <w:t>电池等动力电池新产品新形态的应用对于动力电池热失控触发方法的影响</w:t>
            </w:r>
          </w:p>
          <w:p w14:paraId="1CA83623"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面向动力电池安全性标准修订，提出热失控触发方法相关的修订提案</w:t>
            </w:r>
          </w:p>
        </w:tc>
        <w:tc>
          <w:tcPr>
            <w:tcW w:w="1650" w:type="pct"/>
            <w:shd w:val="clear" w:color="auto" w:fill="auto"/>
            <w:vAlign w:val="center"/>
          </w:tcPr>
          <w:p w14:paraId="7C319475"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．动力电池热失控触发方法研究报告</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份；</w:t>
            </w:r>
          </w:p>
          <w:p w14:paraId="1519521B"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p w14:paraId="076F8431"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hint="eastAsia"/>
                <w:sz w:val="24"/>
                <w:szCs w:val="24"/>
              </w:rPr>
              <w:t>．热失控触发方法相关的动力电池安全国家标准提案</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项。</w:t>
            </w:r>
          </w:p>
        </w:tc>
        <w:tc>
          <w:tcPr>
            <w:tcW w:w="353" w:type="pct"/>
            <w:shd w:val="clear" w:color="auto" w:fill="auto"/>
            <w:vAlign w:val="center"/>
          </w:tcPr>
          <w:p w14:paraId="5C2F0FFC" w14:textId="2F870229"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t>4</w:t>
            </w:r>
          </w:p>
        </w:tc>
      </w:tr>
      <w:tr w:rsidR="000A2CEE" w:rsidRPr="000562EA" w14:paraId="5CAFDA18" w14:textId="77777777">
        <w:trPr>
          <w:jc w:val="center"/>
        </w:trPr>
        <w:tc>
          <w:tcPr>
            <w:tcW w:w="257" w:type="pct"/>
            <w:shd w:val="clear" w:color="auto" w:fill="auto"/>
            <w:vAlign w:val="center"/>
          </w:tcPr>
          <w:p w14:paraId="5181A43D"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75868D33"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电动汽车</w:t>
            </w:r>
          </w:p>
        </w:tc>
        <w:tc>
          <w:tcPr>
            <w:tcW w:w="957" w:type="pct"/>
            <w:shd w:val="clear" w:color="auto" w:fill="auto"/>
            <w:vAlign w:val="center"/>
          </w:tcPr>
          <w:p w14:paraId="45E3E3F3"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新能源汽车国家计量技术规范体系建设研究</w:t>
            </w:r>
          </w:p>
        </w:tc>
        <w:tc>
          <w:tcPr>
            <w:tcW w:w="1491" w:type="pct"/>
            <w:shd w:val="clear" w:color="auto" w:fill="auto"/>
            <w:vAlign w:val="center"/>
          </w:tcPr>
          <w:p w14:paraId="52ACB605"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．按技术领域梳理新能源汽车（包括配套充换电基础设施）产业需要解决的计量缺</w:t>
            </w:r>
            <w:r w:rsidRPr="000562EA">
              <w:rPr>
                <w:rFonts w:ascii="Times New Roman" w:hAnsi="Times New Roman" w:cs="Times New Roman" w:hint="eastAsia"/>
                <w:sz w:val="24"/>
                <w:szCs w:val="24"/>
              </w:rPr>
              <w:lastRenderedPageBreak/>
              <w:t>口项目，以及急需的计量技术规范。</w:t>
            </w:r>
          </w:p>
          <w:p w14:paraId="46CFC85D"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ab/>
            </w:r>
            <w:r w:rsidRPr="000562EA">
              <w:rPr>
                <w:rFonts w:ascii="Times New Roman" w:hAnsi="Times New Roman" w:cs="Times New Roman" w:hint="eastAsia"/>
                <w:sz w:val="24"/>
                <w:szCs w:val="24"/>
              </w:rPr>
              <w:t>提出计量测试设备、制定计量测试方法的建议，提出新能源汽车产业专用计量技术规范体系。</w:t>
            </w:r>
          </w:p>
          <w:p w14:paraId="2C467CDD"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ab/>
            </w:r>
            <w:r w:rsidRPr="000562EA">
              <w:rPr>
                <w:rFonts w:ascii="Times New Roman" w:hAnsi="Times New Roman" w:cs="Times New Roman" w:hint="eastAsia"/>
                <w:sz w:val="24"/>
                <w:szCs w:val="24"/>
              </w:rPr>
              <w:t>针对项目</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中给出的计量“卡脖子”项目，开展一至两项新能源汽车计量规范的草案编制和计量设备研发。</w:t>
            </w:r>
          </w:p>
        </w:tc>
        <w:tc>
          <w:tcPr>
            <w:tcW w:w="1650" w:type="pct"/>
            <w:shd w:val="clear" w:color="auto" w:fill="auto"/>
            <w:vAlign w:val="center"/>
          </w:tcPr>
          <w:p w14:paraId="27310566"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lastRenderedPageBreak/>
              <w:t>1</w:t>
            </w:r>
            <w:r w:rsidRPr="000562EA">
              <w:rPr>
                <w:rFonts w:ascii="Times New Roman" w:hAnsi="Times New Roman" w:cs="Times New Roman" w:hint="eastAsia"/>
                <w:sz w:val="24"/>
                <w:szCs w:val="24"/>
              </w:rPr>
              <w:t>．完成新能源汽车国家计量技术规范体系（工作路线图）。</w:t>
            </w:r>
          </w:p>
          <w:p w14:paraId="1EA8EF1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lastRenderedPageBreak/>
              <w:t>2</w:t>
            </w:r>
            <w:r w:rsidRPr="000562EA">
              <w:rPr>
                <w:rFonts w:ascii="Times New Roman" w:hAnsi="Times New Roman" w:cs="Times New Roman" w:hint="eastAsia"/>
                <w:sz w:val="24"/>
                <w:szCs w:val="24"/>
              </w:rPr>
              <w:t>．完成一至两项新能源汽车计量规范草案，其中包含应用“卡脖子”计量设备。</w:t>
            </w:r>
          </w:p>
          <w:p w14:paraId="51E9722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hint="eastAsia"/>
                <w:sz w:val="24"/>
                <w:szCs w:val="24"/>
              </w:rPr>
              <w:t>．相关成果发表在《中国汽车》期刊上。</w:t>
            </w:r>
          </w:p>
        </w:tc>
        <w:tc>
          <w:tcPr>
            <w:tcW w:w="353" w:type="pct"/>
            <w:shd w:val="clear" w:color="auto" w:fill="auto"/>
            <w:vAlign w:val="center"/>
          </w:tcPr>
          <w:p w14:paraId="03CCA3AD" w14:textId="3BF0907B"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r>
      <w:tr w:rsidR="000A2CEE" w:rsidRPr="000562EA" w14:paraId="22DA421C" w14:textId="77777777">
        <w:trPr>
          <w:jc w:val="center"/>
        </w:trPr>
        <w:tc>
          <w:tcPr>
            <w:tcW w:w="257" w:type="pct"/>
            <w:shd w:val="clear" w:color="auto" w:fill="auto"/>
            <w:vAlign w:val="center"/>
          </w:tcPr>
          <w:p w14:paraId="614EB80A"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23F73200"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双碳</w:t>
            </w:r>
          </w:p>
        </w:tc>
        <w:tc>
          <w:tcPr>
            <w:tcW w:w="957" w:type="pct"/>
            <w:shd w:val="clear" w:color="auto" w:fill="auto"/>
            <w:vAlign w:val="center"/>
          </w:tcPr>
          <w:p w14:paraId="5D45DFB9"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动力电池产品生命周期碳排放核算技术规范</w:t>
            </w:r>
          </w:p>
        </w:tc>
        <w:tc>
          <w:tcPr>
            <w:tcW w:w="1491" w:type="pct"/>
            <w:shd w:val="clear" w:color="auto" w:fill="auto"/>
            <w:vAlign w:val="center"/>
          </w:tcPr>
          <w:p w14:paraId="5CA49F1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开展动力电池产品生命周期碳足迹核算技术规范研究，以助力动力电池产业低碳转型，促进新能源汽车及动力电池产业绿色高质量发展。</w:t>
            </w:r>
          </w:p>
        </w:tc>
        <w:tc>
          <w:tcPr>
            <w:tcW w:w="1650" w:type="pct"/>
            <w:shd w:val="clear" w:color="auto" w:fill="auto"/>
            <w:vAlign w:val="center"/>
          </w:tcPr>
          <w:p w14:paraId="3278EC62"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系统梳理国内外产品生命周期碳足迹核算标准规范，并对相关要点进行技术分析；</w:t>
            </w:r>
          </w:p>
          <w:p w14:paraId="64114510"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．对动力电池产品生命周期碳足迹核算的专业术语、范围界定、计算方法、核算材料确定和取舍、碳排放因子核算边界与参考数值、数据要求、报告模板等方面制定规定，并说明背景和必要性；</w:t>
            </w:r>
          </w:p>
          <w:p w14:paraId="05937260"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sz w:val="24"/>
                <w:szCs w:val="24"/>
              </w:rPr>
              <w:t xml:space="preserve">3. </w:t>
            </w:r>
            <w:r w:rsidRPr="000562EA">
              <w:rPr>
                <w:rFonts w:ascii="Times New Roman" w:hAnsi="Times New Roman" w:cs="Times New Roman" w:hint="eastAsia"/>
                <w:sz w:val="24"/>
                <w:szCs w:val="24"/>
              </w:rPr>
              <w:t>对自身产品碳足迹核算报告进行详细分析，提出碳足迹核算中存在问题和争议的地方，分析报告是否会导致产业链信息泄漏、如何规避等问题。</w:t>
            </w:r>
          </w:p>
          <w:p w14:paraId="04976E26"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4</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40694DCB"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5</w:t>
            </w:r>
          </w:p>
        </w:tc>
      </w:tr>
      <w:tr w:rsidR="000A2CEE" w:rsidRPr="000562EA" w14:paraId="670CAFA6" w14:textId="77777777">
        <w:trPr>
          <w:trHeight w:val="2983"/>
          <w:jc w:val="center"/>
        </w:trPr>
        <w:tc>
          <w:tcPr>
            <w:tcW w:w="257" w:type="pct"/>
            <w:shd w:val="clear" w:color="auto" w:fill="auto"/>
            <w:vAlign w:val="center"/>
          </w:tcPr>
          <w:p w14:paraId="2A26EC16"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323BDF82"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双碳</w:t>
            </w:r>
          </w:p>
        </w:tc>
        <w:tc>
          <w:tcPr>
            <w:tcW w:w="957" w:type="pct"/>
            <w:shd w:val="clear" w:color="auto" w:fill="auto"/>
            <w:vAlign w:val="center"/>
          </w:tcPr>
          <w:p w14:paraId="3DFA5E0F"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汽车行业碳排放标准体系项目研究</w:t>
            </w:r>
          </w:p>
        </w:tc>
        <w:tc>
          <w:tcPr>
            <w:tcW w:w="1491" w:type="pct"/>
            <w:shd w:val="clear" w:color="auto" w:fill="auto"/>
            <w:vAlign w:val="center"/>
          </w:tcPr>
          <w:p w14:paraId="48F74B80"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通过系统分析汽车行业实施碳排放管理的主体企业，并对开展碳排放管理的对象进行详细分析，构建汽车行业管理范围内的碳排放管理标准体系框架。围绕汽车整车、关键部件、循环再生等生命周期，构建汽车生命周期评价、碳足迹评价关键技术标准建议。</w:t>
            </w:r>
          </w:p>
        </w:tc>
        <w:tc>
          <w:tcPr>
            <w:tcW w:w="1650" w:type="pct"/>
            <w:shd w:val="clear" w:color="auto" w:fill="auto"/>
            <w:vAlign w:val="center"/>
          </w:tcPr>
          <w:p w14:paraId="52185679"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．对国内外所有涉及到碳排放管理的标准法规和政策文件进行收集分析整理，形成调研报告；</w:t>
            </w:r>
          </w:p>
          <w:p w14:paraId="0ABA4C28"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．形成包括汽车全生命周期所有涉及的主体企业、管理对象等范围的标准化总体框架，构建汽车碳排放管理标准体系；</w:t>
            </w:r>
          </w:p>
          <w:p w14:paraId="28085919"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形成汽车各类型产品碳足迹核算边界、核算方法并进行实地调研，出具自身企业产品碳足迹报告。并对碳足迹报告进行详细分析，提出改进意见和建议；</w:t>
            </w:r>
          </w:p>
          <w:p w14:paraId="634EE142"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4</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64247E43"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5</w:t>
            </w:r>
          </w:p>
        </w:tc>
      </w:tr>
      <w:tr w:rsidR="000A2CEE" w:rsidRPr="000562EA" w14:paraId="2D394C08" w14:textId="77777777">
        <w:trPr>
          <w:jc w:val="center"/>
        </w:trPr>
        <w:tc>
          <w:tcPr>
            <w:tcW w:w="257" w:type="pct"/>
            <w:shd w:val="clear" w:color="auto" w:fill="auto"/>
            <w:vAlign w:val="center"/>
          </w:tcPr>
          <w:p w14:paraId="6CBB4EF1"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68D05302"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事故分析</w:t>
            </w:r>
          </w:p>
        </w:tc>
        <w:tc>
          <w:tcPr>
            <w:tcW w:w="957" w:type="pct"/>
            <w:shd w:val="clear" w:color="auto" w:fill="auto"/>
            <w:vAlign w:val="center"/>
          </w:tcPr>
          <w:p w14:paraId="1B0D5D74"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基于空间数据融合技术的车辆事故重建方法</w:t>
            </w:r>
          </w:p>
        </w:tc>
        <w:tc>
          <w:tcPr>
            <w:tcW w:w="1491" w:type="pct"/>
            <w:shd w:val="clear" w:color="auto" w:fill="auto"/>
            <w:vAlign w:val="center"/>
          </w:tcPr>
          <w:p w14:paraId="6AC6E9EE"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进行车辆事故重建方法的国内外对比分析；</w:t>
            </w:r>
          </w:p>
          <w:p w14:paraId="6C09318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建立基于空间融合技术的车辆事故重建方法；</w:t>
            </w:r>
          </w:p>
          <w:p w14:paraId="37BE727F"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提出基于空间融合技术的车辆事故重建方法的具体要求和适用场景。</w:t>
            </w:r>
          </w:p>
        </w:tc>
        <w:tc>
          <w:tcPr>
            <w:tcW w:w="1650" w:type="pct"/>
            <w:shd w:val="clear" w:color="auto" w:fill="auto"/>
            <w:vAlign w:val="center"/>
          </w:tcPr>
          <w:p w14:paraId="203B3340"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研究报告：完成基于空间融合技术车辆事故重建方法研究及对比分析报告</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份；</w:t>
            </w:r>
          </w:p>
          <w:p w14:paraId="1A29F22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论文：事故重建方法相关论文</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篇（核心）；</w:t>
            </w:r>
          </w:p>
          <w:p w14:paraId="563C463E"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3</w:t>
            </w:r>
            <w:r w:rsidRPr="000562EA">
              <w:rPr>
                <w:rFonts w:ascii="Times New Roman" w:hAnsi="Times New Roman" w:cs="Times New Roman"/>
                <w:sz w:val="24"/>
                <w:szCs w:val="24"/>
              </w:rPr>
              <w:t xml:space="preserve">. </w:t>
            </w:r>
            <w:r w:rsidRPr="000562EA">
              <w:rPr>
                <w:rFonts w:ascii="Times New Roman" w:hAnsi="Times New Roman" w:cs="Times New Roman" w:hint="eastAsia"/>
                <w:sz w:val="24"/>
                <w:szCs w:val="24"/>
              </w:rPr>
              <w:t>提出相关标准制修订建议。</w:t>
            </w:r>
          </w:p>
        </w:tc>
        <w:tc>
          <w:tcPr>
            <w:tcW w:w="353" w:type="pct"/>
            <w:shd w:val="clear" w:color="auto" w:fill="auto"/>
            <w:vAlign w:val="center"/>
          </w:tcPr>
          <w:p w14:paraId="615FA491"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6</w:t>
            </w:r>
          </w:p>
        </w:tc>
      </w:tr>
      <w:tr w:rsidR="000A2CEE" w14:paraId="1CBA167A" w14:textId="77777777">
        <w:trPr>
          <w:jc w:val="center"/>
        </w:trPr>
        <w:tc>
          <w:tcPr>
            <w:tcW w:w="257" w:type="pct"/>
            <w:shd w:val="clear" w:color="auto" w:fill="auto"/>
            <w:vAlign w:val="center"/>
          </w:tcPr>
          <w:p w14:paraId="0A26A454" w14:textId="77777777" w:rsidR="000A2CEE" w:rsidRPr="000562EA" w:rsidRDefault="000A2CEE">
            <w:pPr>
              <w:pStyle w:val="ad"/>
              <w:numPr>
                <w:ilvl w:val="0"/>
                <w:numId w:val="1"/>
              </w:numPr>
              <w:ind w:firstLineChars="0"/>
              <w:jc w:val="center"/>
              <w:rPr>
                <w:rFonts w:ascii="Times New Roman" w:hAnsi="Times New Roman" w:cs="Times New Roman"/>
                <w:sz w:val="24"/>
                <w:szCs w:val="24"/>
              </w:rPr>
            </w:pPr>
          </w:p>
        </w:tc>
        <w:tc>
          <w:tcPr>
            <w:tcW w:w="292" w:type="pct"/>
            <w:vAlign w:val="center"/>
          </w:tcPr>
          <w:p w14:paraId="077AE0B1" w14:textId="77777777" w:rsidR="000A2CEE" w:rsidRPr="000562EA" w:rsidRDefault="00000000">
            <w:pPr>
              <w:jc w:val="center"/>
              <w:rPr>
                <w:rFonts w:ascii="Times New Roman" w:hAnsi="Times New Roman" w:cs="Times New Roman"/>
                <w:sz w:val="24"/>
                <w:szCs w:val="24"/>
              </w:rPr>
            </w:pPr>
            <w:r w:rsidRPr="000562EA">
              <w:rPr>
                <w:rFonts w:ascii="Times New Roman" w:hAnsi="Times New Roman" w:cs="Times New Roman" w:hint="eastAsia"/>
                <w:sz w:val="24"/>
                <w:szCs w:val="24"/>
              </w:rPr>
              <w:t>基础</w:t>
            </w:r>
          </w:p>
        </w:tc>
        <w:tc>
          <w:tcPr>
            <w:tcW w:w="957" w:type="pct"/>
            <w:shd w:val="clear" w:color="auto" w:fill="auto"/>
            <w:vAlign w:val="center"/>
          </w:tcPr>
          <w:p w14:paraId="100AA64B"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中国出行、物流模式发展趋势及对汽车产业的影响预测（乘用车</w:t>
            </w:r>
            <w:r w:rsidRPr="000562EA">
              <w:rPr>
                <w:rFonts w:ascii="Times New Roman" w:hAnsi="Times New Roman" w:cs="Times New Roman" w:hint="eastAsia"/>
                <w:sz w:val="24"/>
                <w:szCs w:val="24"/>
              </w:rPr>
              <w:t>+</w:t>
            </w:r>
            <w:r w:rsidRPr="000562EA">
              <w:rPr>
                <w:rFonts w:ascii="Times New Roman" w:hAnsi="Times New Roman" w:cs="Times New Roman" w:hint="eastAsia"/>
                <w:sz w:val="24"/>
                <w:szCs w:val="24"/>
              </w:rPr>
              <w:t>商用车）</w:t>
            </w:r>
          </w:p>
        </w:tc>
        <w:tc>
          <w:tcPr>
            <w:tcW w:w="1491" w:type="pct"/>
            <w:shd w:val="clear" w:color="auto" w:fill="auto"/>
            <w:vAlign w:val="center"/>
          </w:tcPr>
          <w:p w14:paraId="039A435F"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．基于公路旅客出行方式现状、发展趋势研究对乘用车、客车产业的影响；</w:t>
            </w:r>
          </w:p>
          <w:p w14:paraId="501748DC"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．基于公路货运行业现状、转型升级的发展趋势研究对商用车（除客车）、挂车产业的影响。</w:t>
            </w:r>
          </w:p>
        </w:tc>
        <w:tc>
          <w:tcPr>
            <w:tcW w:w="1650" w:type="pct"/>
            <w:shd w:val="clear" w:color="auto" w:fill="auto"/>
            <w:vAlign w:val="center"/>
          </w:tcPr>
          <w:p w14:paraId="2853065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．梳理我国公路旅客出行、货运行业的发展现状与走势，研究对汽车产业的影响，形成中国公路客货运行业对汽车产业影响分析报告；</w:t>
            </w:r>
          </w:p>
          <w:p w14:paraId="142769CA" w14:textId="77777777" w:rsidR="000A2CEE" w:rsidRPr="000562EA" w:rsidRDefault="00000000">
            <w:pPr>
              <w:rPr>
                <w:rFonts w:ascii="Times New Roman" w:hAnsi="Times New Roman" w:cs="Times New Roman"/>
                <w:sz w:val="24"/>
                <w:szCs w:val="24"/>
              </w:rPr>
            </w:pPr>
            <w:r w:rsidRPr="000562EA">
              <w:rPr>
                <w:rFonts w:ascii="Times New Roman" w:hAnsi="Times New Roman" w:cs="Times New Roman" w:hint="eastAsia"/>
                <w:sz w:val="24"/>
                <w:szCs w:val="24"/>
              </w:rPr>
              <w:t>2</w:t>
            </w:r>
            <w:r w:rsidRPr="000562EA">
              <w:rPr>
                <w:rFonts w:ascii="Times New Roman" w:hAnsi="Times New Roman" w:cs="Times New Roman" w:hint="eastAsia"/>
                <w:sz w:val="24"/>
                <w:szCs w:val="24"/>
              </w:rPr>
              <w:t>．在《中国汽车》期刊上发表</w:t>
            </w:r>
            <w:r w:rsidRPr="000562EA">
              <w:rPr>
                <w:rFonts w:ascii="Times New Roman" w:hAnsi="Times New Roman" w:cs="Times New Roman" w:hint="eastAsia"/>
                <w:sz w:val="24"/>
                <w:szCs w:val="24"/>
              </w:rPr>
              <w:t>1</w:t>
            </w:r>
            <w:r w:rsidRPr="000562EA">
              <w:rPr>
                <w:rFonts w:ascii="Times New Roman" w:hAnsi="Times New Roman" w:cs="Times New Roman" w:hint="eastAsia"/>
                <w:sz w:val="24"/>
                <w:szCs w:val="24"/>
              </w:rPr>
              <w:t>篇论文。</w:t>
            </w:r>
          </w:p>
        </w:tc>
        <w:tc>
          <w:tcPr>
            <w:tcW w:w="353" w:type="pct"/>
            <w:shd w:val="clear" w:color="auto" w:fill="auto"/>
            <w:vAlign w:val="center"/>
          </w:tcPr>
          <w:p w14:paraId="47121B9C" w14:textId="346D7DB5" w:rsidR="000A2CEE" w:rsidRPr="000562EA" w:rsidRDefault="00C76A9A">
            <w:pPr>
              <w:jc w:val="center"/>
              <w:rPr>
                <w:rFonts w:ascii="Times New Roman" w:hAnsi="Times New Roman" w:cs="Times New Roman"/>
                <w:sz w:val="24"/>
                <w:szCs w:val="24"/>
              </w:rPr>
            </w:pPr>
            <w:r>
              <w:rPr>
                <w:rFonts w:ascii="Times New Roman" w:hAnsi="Times New Roman" w:cs="Times New Roman"/>
                <w:sz w:val="24"/>
                <w:szCs w:val="24"/>
              </w:rPr>
              <w:t>4</w:t>
            </w:r>
          </w:p>
        </w:tc>
      </w:tr>
    </w:tbl>
    <w:p w14:paraId="29FD01E4" w14:textId="77777777" w:rsidR="000A2CEE" w:rsidRDefault="000A2CEE">
      <w:pPr>
        <w:jc w:val="left"/>
        <w:rPr>
          <w:rFonts w:ascii="Times New Roman" w:eastAsia="楷体" w:hAnsi="Times New Roman" w:cs="Times New Roman"/>
          <w:sz w:val="24"/>
          <w:szCs w:val="24"/>
        </w:rPr>
      </w:pPr>
    </w:p>
    <w:sectPr w:rsidR="000A2CEE">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377F" w14:textId="77777777" w:rsidR="0045795B" w:rsidRDefault="0045795B" w:rsidP="00C76A9A">
      <w:r>
        <w:separator/>
      </w:r>
    </w:p>
  </w:endnote>
  <w:endnote w:type="continuationSeparator" w:id="0">
    <w:p w14:paraId="03277915" w14:textId="77777777" w:rsidR="0045795B" w:rsidRDefault="0045795B" w:rsidP="00C7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C8D3" w14:textId="77777777" w:rsidR="0045795B" w:rsidRDefault="0045795B" w:rsidP="00C76A9A">
      <w:r>
        <w:separator/>
      </w:r>
    </w:p>
  </w:footnote>
  <w:footnote w:type="continuationSeparator" w:id="0">
    <w:p w14:paraId="0B271033" w14:textId="77777777" w:rsidR="0045795B" w:rsidRDefault="0045795B" w:rsidP="00C7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511"/>
    <w:multiLevelType w:val="multilevel"/>
    <w:tmpl w:val="022855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7013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2D97"/>
    <w:rsid w:val="00002E70"/>
    <w:rsid w:val="00006497"/>
    <w:rsid w:val="000069BB"/>
    <w:rsid w:val="00010917"/>
    <w:rsid w:val="00014284"/>
    <w:rsid w:val="00014AA4"/>
    <w:rsid w:val="000269DA"/>
    <w:rsid w:val="000432D4"/>
    <w:rsid w:val="00045883"/>
    <w:rsid w:val="000562EA"/>
    <w:rsid w:val="00070937"/>
    <w:rsid w:val="00091AA4"/>
    <w:rsid w:val="000953AB"/>
    <w:rsid w:val="000A2CEE"/>
    <w:rsid w:val="000D45CF"/>
    <w:rsid w:val="000E1C05"/>
    <w:rsid w:val="000E6FE4"/>
    <w:rsid w:val="000E79B2"/>
    <w:rsid w:val="000F4BEB"/>
    <w:rsid w:val="001216EB"/>
    <w:rsid w:val="00125182"/>
    <w:rsid w:val="00126950"/>
    <w:rsid w:val="001346D1"/>
    <w:rsid w:val="001409E2"/>
    <w:rsid w:val="00140C26"/>
    <w:rsid w:val="00175E95"/>
    <w:rsid w:val="001951C2"/>
    <w:rsid w:val="001A48B5"/>
    <w:rsid w:val="001C4A12"/>
    <w:rsid w:val="001F309D"/>
    <w:rsid w:val="001F696B"/>
    <w:rsid w:val="00205248"/>
    <w:rsid w:val="00225840"/>
    <w:rsid w:val="00235068"/>
    <w:rsid w:val="00242CEE"/>
    <w:rsid w:val="00245BEB"/>
    <w:rsid w:val="002633CE"/>
    <w:rsid w:val="00280825"/>
    <w:rsid w:val="00283CD6"/>
    <w:rsid w:val="002845FD"/>
    <w:rsid w:val="00290CAF"/>
    <w:rsid w:val="00292D97"/>
    <w:rsid w:val="002A1B1A"/>
    <w:rsid w:val="002A5AA5"/>
    <w:rsid w:val="002B095B"/>
    <w:rsid w:val="002B6CEE"/>
    <w:rsid w:val="002C79C1"/>
    <w:rsid w:val="002E4034"/>
    <w:rsid w:val="00316E38"/>
    <w:rsid w:val="00325648"/>
    <w:rsid w:val="0033392E"/>
    <w:rsid w:val="00337057"/>
    <w:rsid w:val="0034203B"/>
    <w:rsid w:val="0035797B"/>
    <w:rsid w:val="00363D08"/>
    <w:rsid w:val="00370EA6"/>
    <w:rsid w:val="0037269E"/>
    <w:rsid w:val="003753A6"/>
    <w:rsid w:val="00396189"/>
    <w:rsid w:val="003A1BEB"/>
    <w:rsid w:val="003A4295"/>
    <w:rsid w:val="003A50F9"/>
    <w:rsid w:val="003A6B4E"/>
    <w:rsid w:val="003A76ED"/>
    <w:rsid w:val="003B0813"/>
    <w:rsid w:val="003C1420"/>
    <w:rsid w:val="003D0B12"/>
    <w:rsid w:val="003D7C07"/>
    <w:rsid w:val="004151F8"/>
    <w:rsid w:val="004206CE"/>
    <w:rsid w:val="0042113D"/>
    <w:rsid w:val="00422269"/>
    <w:rsid w:val="00430F6E"/>
    <w:rsid w:val="00445228"/>
    <w:rsid w:val="0045795B"/>
    <w:rsid w:val="004612C0"/>
    <w:rsid w:val="00487949"/>
    <w:rsid w:val="00491716"/>
    <w:rsid w:val="00494A77"/>
    <w:rsid w:val="00494FFB"/>
    <w:rsid w:val="004A5183"/>
    <w:rsid w:val="004C34EA"/>
    <w:rsid w:val="004D009C"/>
    <w:rsid w:val="004E6B73"/>
    <w:rsid w:val="004F3DAA"/>
    <w:rsid w:val="004F716B"/>
    <w:rsid w:val="005167AB"/>
    <w:rsid w:val="0052179D"/>
    <w:rsid w:val="00522BCA"/>
    <w:rsid w:val="0052798F"/>
    <w:rsid w:val="005401F5"/>
    <w:rsid w:val="00546C75"/>
    <w:rsid w:val="005473E8"/>
    <w:rsid w:val="00560665"/>
    <w:rsid w:val="0056268E"/>
    <w:rsid w:val="00562A22"/>
    <w:rsid w:val="00565F7C"/>
    <w:rsid w:val="00580E32"/>
    <w:rsid w:val="00581F8E"/>
    <w:rsid w:val="005913AE"/>
    <w:rsid w:val="005A0CD2"/>
    <w:rsid w:val="005B1B18"/>
    <w:rsid w:val="005B7E38"/>
    <w:rsid w:val="005B7F96"/>
    <w:rsid w:val="005C5573"/>
    <w:rsid w:val="005E777E"/>
    <w:rsid w:val="00602B90"/>
    <w:rsid w:val="00613F3F"/>
    <w:rsid w:val="006171D6"/>
    <w:rsid w:val="006207F0"/>
    <w:rsid w:val="00642108"/>
    <w:rsid w:val="006438EA"/>
    <w:rsid w:val="006463CC"/>
    <w:rsid w:val="00656145"/>
    <w:rsid w:val="00666FDC"/>
    <w:rsid w:val="006768EE"/>
    <w:rsid w:val="00683446"/>
    <w:rsid w:val="00684431"/>
    <w:rsid w:val="006919DF"/>
    <w:rsid w:val="00693865"/>
    <w:rsid w:val="006A2869"/>
    <w:rsid w:val="006A669F"/>
    <w:rsid w:val="006A77D2"/>
    <w:rsid w:val="006D2A16"/>
    <w:rsid w:val="00703E6F"/>
    <w:rsid w:val="00711654"/>
    <w:rsid w:val="0071627A"/>
    <w:rsid w:val="0074040A"/>
    <w:rsid w:val="00750AF4"/>
    <w:rsid w:val="00755F8F"/>
    <w:rsid w:val="00762712"/>
    <w:rsid w:val="0077373E"/>
    <w:rsid w:val="00790733"/>
    <w:rsid w:val="007A027D"/>
    <w:rsid w:val="007B22D4"/>
    <w:rsid w:val="007C1F7B"/>
    <w:rsid w:val="007C4ED5"/>
    <w:rsid w:val="007D45ED"/>
    <w:rsid w:val="007D4D7D"/>
    <w:rsid w:val="007D58BE"/>
    <w:rsid w:val="007D5A92"/>
    <w:rsid w:val="007D7AD3"/>
    <w:rsid w:val="007E49C2"/>
    <w:rsid w:val="007E65C8"/>
    <w:rsid w:val="007E739F"/>
    <w:rsid w:val="007F0CBF"/>
    <w:rsid w:val="007F4232"/>
    <w:rsid w:val="007F6242"/>
    <w:rsid w:val="00802857"/>
    <w:rsid w:val="00817C7C"/>
    <w:rsid w:val="00821740"/>
    <w:rsid w:val="00834576"/>
    <w:rsid w:val="00835E85"/>
    <w:rsid w:val="00841E19"/>
    <w:rsid w:val="008427E6"/>
    <w:rsid w:val="0085298A"/>
    <w:rsid w:val="0085799E"/>
    <w:rsid w:val="00873BFC"/>
    <w:rsid w:val="0087476C"/>
    <w:rsid w:val="00885B6F"/>
    <w:rsid w:val="008927AF"/>
    <w:rsid w:val="00895C8D"/>
    <w:rsid w:val="008A11AF"/>
    <w:rsid w:val="008A1B79"/>
    <w:rsid w:val="008A46D8"/>
    <w:rsid w:val="008B225D"/>
    <w:rsid w:val="008C1D38"/>
    <w:rsid w:val="008C2B2A"/>
    <w:rsid w:val="008D6089"/>
    <w:rsid w:val="008D62AD"/>
    <w:rsid w:val="008D7EB0"/>
    <w:rsid w:val="008F4B2A"/>
    <w:rsid w:val="00906789"/>
    <w:rsid w:val="00911374"/>
    <w:rsid w:val="00926FC0"/>
    <w:rsid w:val="0092798B"/>
    <w:rsid w:val="00931499"/>
    <w:rsid w:val="00935A39"/>
    <w:rsid w:val="00935FA2"/>
    <w:rsid w:val="009462CD"/>
    <w:rsid w:val="0096410E"/>
    <w:rsid w:val="00991929"/>
    <w:rsid w:val="009A41D4"/>
    <w:rsid w:val="009B3DAF"/>
    <w:rsid w:val="009B4BF2"/>
    <w:rsid w:val="009D618B"/>
    <w:rsid w:val="009D7024"/>
    <w:rsid w:val="009E6B63"/>
    <w:rsid w:val="009F48C5"/>
    <w:rsid w:val="009F50EC"/>
    <w:rsid w:val="00A022F1"/>
    <w:rsid w:val="00A03CA6"/>
    <w:rsid w:val="00A069AB"/>
    <w:rsid w:val="00A11020"/>
    <w:rsid w:val="00A134E0"/>
    <w:rsid w:val="00A22976"/>
    <w:rsid w:val="00A26DF5"/>
    <w:rsid w:val="00A26E5F"/>
    <w:rsid w:val="00A32482"/>
    <w:rsid w:val="00A402B4"/>
    <w:rsid w:val="00A67136"/>
    <w:rsid w:val="00A719AB"/>
    <w:rsid w:val="00A82607"/>
    <w:rsid w:val="00A85C40"/>
    <w:rsid w:val="00A9105B"/>
    <w:rsid w:val="00A9726F"/>
    <w:rsid w:val="00AA644F"/>
    <w:rsid w:val="00AA7501"/>
    <w:rsid w:val="00AB221F"/>
    <w:rsid w:val="00AB28FF"/>
    <w:rsid w:val="00AB5728"/>
    <w:rsid w:val="00AD09AA"/>
    <w:rsid w:val="00AD55F8"/>
    <w:rsid w:val="00B04E64"/>
    <w:rsid w:val="00B149A3"/>
    <w:rsid w:val="00B177D3"/>
    <w:rsid w:val="00B20D31"/>
    <w:rsid w:val="00B27075"/>
    <w:rsid w:val="00B32B2C"/>
    <w:rsid w:val="00B70AB7"/>
    <w:rsid w:val="00B74690"/>
    <w:rsid w:val="00B81A04"/>
    <w:rsid w:val="00B85606"/>
    <w:rsid w:val="00B87850"/>
    <w:rsid w:val="00B9099A"/>
    <w:rsid w:val="00B96698"/>
    <w:rsid w:val="00BA25C5"/>
    <w:rsid w:val="00BA5738"/>
    <w:rsid w:val="00BA6DD4"/>
    <w:rsid w:val="00BD4AA8"/>
    <w:rsid w:val="00BD5201"/>
    <w:rsid w:val="00BF4DA5"/>
    <w:rsid w:val="00BF6286"/>
    <w:rsid w:val="00C0285F"/>
    <w:rsid w:val="00C05049"/>
    <w:rsid w:val="00C14E89"/>
    <w:rsid w:val="00C16E69"/>
    <w:rsid w:val="00C34650"/>
    <w:rsid w:val="00C37056"/>
    <w:rsid w:val="00C4395B"/>
    <w:rsid w:val="00C44A78"/>
    <w:rsid w:val="00C45138"/>
    <w:rsid w:val="00C63757"/>
    <w:rsid w:val="00C639E3"/>
    <w:rsid w:val="00C66141"/>
    <w:rsid w:val="00C6774A"/>
    <w:rsid w:val="00C76A9A"/>
    <w:rsid w:val="00C90EF4"/>
    <w:rsid w:val="00CA0F1A"/>
    <w:rsid w:val="00CA7304"/>
    <w:rsid w:val="00CB42DE"/>
    <w:rsid w:val="00CB484A"/>
    <w:rsid w:val="00CC29D2"/>
    <w:rsid w:val="00CC3D6B"/>
    <w:rsid w:val="00CD7FD2"/>
    <w:rsid w:val="00CE316F"/>
    <w:rsid w:val="00CE47B8"/>
    <w:rsid w:val="00CE59CF"/>
    <w:rsid w:val="00CF1CD3"/>
    <w:rsid w:val="00CF33B7"/>
    <w:rsid w:val="00CF3CC7"/>
    <w:rsid w:val="00CF5B39"/>
    <w:rsid w:val="00CF7B1B"/>
    <w:rsid w:val="00D00FA5"/>
    <w:rsid w:val="00D0389D"/>
    <w:rsid w:val="00D03B8D"/>
    <w:rsid w:val="00D1563E"/>
    <w:rsid w:val="00D15A8B"/>
    <w:rsid w:val="00D23CFB"/>
    <w:rsid w:val="00D24A59"/>
    <w:rsid w:val="00D27386"/>
    <w:rsid w:val="00D41A19"/>
    <w:rsid w:val="00D53334"/>
    <w:rsid w:val="00D61E03"/>
    <w:rsid w:val="00D66E5F"/>
    <w:rsid w:val="00D756A1"/>
    <w:rsid w:val="00D866B9"/>
    <w:rsid w:val="00DC1813"/>
    <w:rsid w:val="00DC3750"/>
    <w:rsid w:val="00DF264A"/>
    <w:rsid w:val="00E01A0A"/>
    <w:rsid w:val="00E405E8"/>
    <w:rsid w:val="00E42A23"/>
    <w:rsid w:val="00E430F1"/>
    <w:rsid w:val="00E452A5"/>
    <w:rsid w:val="00E46B1E"/>
    <w:rsid w:val="00E46EA7"/>
    <w:rsid w:val="00E539E8"/>
    <w:rsid w:val="00E56E6C"/>
    <w:rsid w:val="00E63E0D"/>
    <w:rsid w:val="00E73BB7"/>
    <w:rsid w:val="00E80A3D"/>
    <w:rsid w:val="00E8614F"/>
    <w:rsid w:val="00E91BE5"/>
    <w:rsid w:val="00E9332C"/>
    <w:rsid w:val="00EA3531"/>
    <w:rsid w:val="00EB76EF"/>
    <w:rsid w:val="00ED14E3"/>
    <w:rsid w:val="00ED3173"/>
    <w:rsid w:val="00EE7C3E"/>
    <w:rsid w:val="00F03196"/>
    <w:rsid w:val="00F14E07"/>
    <w:rsid w:val="00F53B80"/>
    <w:rsid w:val="00F541DC"/>
    <w:rsid w:val="00F63D4F"/>
    <w:rsid w:val="00F750D4"/>
    <w:rsid w:val="00F82DE9"/>
    <w:rsid w:val="00F86DFC"/>
    <w:rsid w:val="00F87EB3"/>
    <w:rsid w:val="00F949BA"/>
    <w:rsid w:val="00F95C74"/>
    <w:rsid w:val="00FA1D07"/>
    <w:rsid w:val="00FA51A6"/>
    <w:rsid w:val="00FB448F"/>
    <w:rsid w:val="00FB5465"/>
    <w:rsid w:val="00FC6BCB"/>
    <w:rsid w:val="00FC79CB"/>
    <w:rsid w:val="00FC7DBB"/>
    <w:rsid w:val="00FE60E5"/>
    <w:rsid w:val="1C8726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8F63C"/>
  <w15:docId w15:val="{F063425D-3EF8-4423-B3BD-D135033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paragraph" w:styleId="ad">
    <w:name w:val="List Paragraph"/>
    <w:basedOn w:val="a"/>
    <w:uiPriority w:val="34"/>
    <w:qFormat/>
    <w:pPr>
      <w:ind w:firstLineChars="200" w:firstLine="420"/>
    </w:pPr>
  </w:style>
  <w:style w:type="character" w:customStyle="1" w:styleId="fontstyle01">
    <w:name w:val="fontstyle01"/>
    <w:basedOn w:val="a0"/>
    <w:rPr>
      <w:rFonts w:ascii="黑体" w:eastAsia="黑体" w:hAnsi="黑体" w:hint="eastAsia"/>
      <w:color w:val="000000"/>
      <w:sz w:val="32"/>
      <w:szCs w:val="32"/>
    </w:rPr>
  </w:style>
  <w:style w:type="character" w:customStyle="1" w:styleId="apple-converted-space">
    <w:name w:val="apple-converted-space"/>
    <w:basedOn w:val="a0"/>
    <w:qFormat/>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PPPPP</dc:creator>
  <cp:lastModifiedBy>燕翙江</cp:lastModifiedBy>
  <cp:revision>255</cp:revision>
  <cp:lastPrinted>2020-05-18T09:29:00Z</cp:lastPrinted>
  <dcterms:created xsi:type="dcterms:W3CDTF">2018-03-12T05:51:00Z</dcterms:created>
  <dcterms:modified xsi:type="dcterms:W3CDTF">2022-09-15T07:48:00Z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